
<file path=[Content_Types].xml><?xml version="1.0" encoding="utf-8"?>
<Types xmlns="http://schemas.openxmlformats.org/package/2006/content-types">
  <Default Extension="rels" ContentType="application/vnd.openxmlformats-package.relationships+xml"/>
  <Default Extension="xml" ContentType="application/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5b9bd5"/>
          <w:sz w:val="24"/>
          <w:szCs w:val="24"/>
        </w:rPr>
      </w:pPr>
      <w:r w:rsidDel="00000000" w:rsidR="00000000" w:rsidRPr="00000000">
        <w:rPr>
          <w:color w:val="5b9bd5"/>
          <w:sz w:val="24"/>
          <w:szCs w:val="24"/>
          <w:rtl w:val="0"/>
        </w:rPr>
        <w:t xml:space="preserve">Digital Twin Simulations for Industrial Assurance </w:t>
      </w:r>
    </w:p>
    <w:p w:rsidR="00000000" w:rsidDel="00000000" w:rsidP="00000000" w:rsidRDefault="00000000" w:rsidRPr="00000000" w14:paraId="00000002">
      <w:pPr>
        <w:rPr/>
      </w:pPr>
      <w:r w:rsidDel="00000000" w:rsidR="00000000" w:rsidRPr="00000000">
        <w:rPr>
          <w:color w:val="000000"/>
          <w:sz w:val="18"/>
          <w:szCs w:val="18"/>
          <w:rtl w:val="0"/>
        </w:rPr>
        <w:t xml:space="preserve">Advancing Insurance Risk Evaluation through Digital Twin Technology</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Industrial insurers currently price risk using actuarial models built on aggregated historical data that cannot capture asset-specific behavior or real-time operating conditions [462]. Traditional certification methods face the same limitation, assessing systems at a fixed point in time rather than continuously throughout their operational lifecycle [463, 464].</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Digital twins address both constraints by creating continuously updated virtual replicas of physical assets, enabling simulation of failure scenarios and behavioral testing under conditions that would be dangerous or impossible to reproduce physically [464]. They have already been demonstrated as evidence-generating tools for safety assurance in industrial environments, producing structured outputs that can support formal safety claims [464, 465]. Model fidelity is the critical constraint, as outputs are only as reliable as the underlying synchronization between the virtual model and its physical counterpart [466, 467].</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i w:val="1"/>
          <w:iCs w:val="1"/>
        </w:rPr>
      </w:pPr>
      <w:r w:rsidDel="00000000" w:rsidR="00000000" w:rsidRPr="00000000">
        <w:rPr>
          <w:rtl w:val="0"/>
        </w:rPr>
        <w:t>These capabilities point toward an emerging assurance-as-a-service model, in which specialized firms generate verifiable simulation-based evidence of asset reliability for both certification and insurance underwriting purposes [465]. As industrial AI systems become more complex and harder to inspect through conventional means, digital twins represent a credible mechanism for closing the gap between how risk is currently assessed and how precisely it could be quantified.</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commentRangeStart w:id="0"/>
      <w:commentRangeStart w:id="1"/>
      <w:commentRangeStart w:id="2"/>
      <w:r w:rsidDel="00000000" w:rsidR="00000000" w:rsidRPr="00000000">
        <w:rPr>
          <w:rtl w:val="0"/>
        </w:rPr>
        <w:t xml:space="preserve">“Our digital twins already represent real machines with over 85% accuracy and are used to test how they would behave under various scenarios.” (Siemens)</w:t>
      </w:r>
      <w:commentRangeEnd w:id="0"/>
      <w:r w:rsidDel="00000000" w:rsidR="00000000" w:rsidRPr="00000000">
        <w:commentReference w:id="0"/>
      </w:r>
      <w:commentRangeEnd w:id="1"/>
      <w:r w:rsidDel="00000000" w:rsidR="00000000" w:rsidRPr="00000000">
        <w:commentReference w:id="1"/>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Moritz Hawener" w:id="0" w:date="2026-03-29T14:58:28Z">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Who and where at siemens?</w:t>
      </w:r>
    </w:p>
  </w:comment>
  <w:comment w:author="Paulina Möhrle" w:id="1" w:date="2026-03-31T08:01:30Z">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already a great quote, ask insurance team for siemens employee specification (senior analyst, ...)</w:t>
      </w:r>
    </w:p>
  </w:comment>
  <w:comment w:author="Alma Aurelia Bonte" w:id="2" w:date="2026-03-31T13:41:52Z">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 rewrote text -&gt; should be fine, will need to figure out quote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line="240" w:lineRule="auto"/>
      <w:jc w:val="both"/>
    </w:pPr>
    <w:rPr>
      <w:rFonts w:ascii="Avenir" w:cs="Avenir" w:eastAsia="Avenir" w:hAnsi="Avenir"/>
      <w:b w:val="1"/>
      <w:bCs w:val="1"/>
      <w:color w:val="5b9bd5"/>
      <w:sz w:val="24"/>
      <w:szCs w:val="24"/>
    </w:rPr>
  </w:style>
  <w:style w:type="paragraph" w:styleId="Heading2">
    <w:name w:val="heading 2"/>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before="240" w:line="360" w:lineRule="auto"/>
      <w:jc w:val="both"/>
    </w:pPr>
    <w:rPr>
      <w:rFonts w:ascii="Avenir" w:cs="Avenir" w:eastAsia="Avenir" w:hAnsi="Avenir"/>
      <w:b w:val="1"/>
      <w:bCs w:val="1"/>
      <w:color w:val="024ea2"/>
      <w:sz w:val="15"/>
      <w:szCs w:val="15"/>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