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5b9bd5"/>
          <w:sz w:val="24"/>
          <w:szCs w:val="24"/>
        </w:rPr>
      </w:pPr>
      <w:r w:rsidDel="00000000" w:rsidR="00000000" w:rsidRPr="00000000">
        <w:rPr>
          <w:color w:val="5b9bd5"/>
          <w:sz w:val="24"/>
          <w:szCs w:val="24"/>
          <w:rtl w:val="0"/>
        </w:rPr>
        <w:t xml:space="preserve">INDUSTRIAL AI INSURANCE FRONTIER</w:t>
      </w:r>
    </w:p>
    <w:p w:rsidR="00000000" w:rsidDel="00000000" w:rsidP="00000000" w:rsidRDefault="00000000" w:rsidRPr="00000000" w14:paraId="00000002">
      <w:pPr>
        <w:rPr>
          <w:b w:val="1"/>
          <w:bCs w:val="1"/>
          <w:sz w:val="18"/>
          <w:szCs w:val="18"/>
        </w:rPr>
      </w:pPr>
      <w:r w:rsidDel="00000000" w:rsidR="00000000" w:rsidRPr="00000000">
        <w:rPr>
          <w:b w:val="1"/>
          <w:bCs w:val="1"/>
          <w:sz w:val="18"/>
          <w:szCs w:val="18"/>
          <w:rtl w:val="0"/>
        </w:rPr>
        <w:t xml:space="preserve">Turning Industrial AI Risk Into a Real-Time Insurance Opportunity</w:t>
      </w:r>
    </w:p>
    <w:p w:rsidR="00000000" w:rsidDel="00000000" w:rsidP="00000000" w:rsidRDefault="00000000" w:rsidRPr="00000000" w14:paraId="00000003">
      <w:pPr>
        <w:rPr>
          <w:b w:val="1"/>
          <w:bCs w:val="1"/>
          <w:sz w:val="18"/>
          <w:szCs w:val="18"/>
        </w:rPr>
      </w:pPr>
      <w:r w:rsidDel="00000000" w:rsidR="00000000" w:rsidRPr="00000000">
        <w:rPr>
          <w:rtl w:val="0"/>
        </w:rPr>
      </w:r>
    </w:p>
    <w:p w:rsidR="00000000" w:rsidDel="00000000" w:rsidP="00000000" w:rsidRDefault="00000000" w:rsidRPr="00000000" w14:paraId="00000004">
      <w:pPr>
        <w:rPr>
          <w:sz w:val="14"/>
          <w:szCs w:val="14"/>
        </w:rPr>
      </w:pPr>
      <w:r w:rsidDel="00000000" w:rsidR="00000000" w:rsidRPr="00000000">
        <w:rPr>
          <w:sz w:val="14"/>
          <w:szCs w:val="14"/>
          <w:rtl w:val="0"/>
        </w:rPr>
        <w:t>The convergence of industrial AI, cyber-physical systems, and operational data is changing not only how factories operate but also how risk is observed, assessed, and managed [440]</w:t>
      </w:r>
      <w:r w:rsidDel="00000000" w:rsidR="00000000" w:rsidRPr="00000000">
        <w:rPr>
          <w:sz w:val="14"/>
          <w:szCs w:val="14"/>
          <w:rtl w:val="0"/>
        </w:rPr>
        <w:t>As production systems become more connected and autonomous, they create new forms of uncertainty that challenge traditional insurance logic [441, 442].</w:t>
      </w:r>
      <w:r w:rsidDel="00000000" w:rsidR="00000000" w:rsidRPr="00000000">
        <w:rPr>
          <w:sz w:val="14"/>
          <w:szCs w:val="14"/>
          <w:rtl w:val="0"/>
        </w:rPr>
        <w:t xml:space="preserve"> These include uncertainty about model behavior, failures under distributional shifts, and risks arising from interactions among models, machines, and physical environments [443, 444]. In industrial settings, such failures can create safety risks and complicate the attribution of responsibility when harm occurs [444, 445]. Traditional liability frameworks are often built around linear notions of causation, negligence, and fault, making them an imperfect fit for AI-driven systems whose behavior can be probabilistic, adaptive, and difficult to interpret [445]..</w:t>
      </w:r>
    </w:p>
    <w:p w:rsidR="00000000" w:rsidDel="00000000" w:rsidP="00000000" w:rsidRDefault="00000000" w:rsidRPr="00000000" w14:paraId="00000005">
      <w:pPr>
        <w:spacing w:after="240" w:before="240" w:lineRule="auto"/>
        <w:rPr>
          <w:sz w:val="14"/>
          <w:szCs w:val="14"/>
        </w:rPr>
      </w:pPr>
      <w:r w:rsidDel="00000000" w:rsidR="00000000" w:rsidRPr="00000000">
        <w:rPr>
          <w:sz w:val="14"/>
          <w:szCs w:val="14"/>
          <w:rtl w:val="0"/>
        </w:rPr>
        <w:t>At the same time, this transformation makes risk more observable. Connected assets, sensors, and digital infrastructures generate growing volumes of operational data that, in principle, can improve risk assessment, pricing, and claims processes [446, 447, 448]. Yet insurers often still face fragmented, incomplete, or difficult-to-use data environments, limiting the effectiveness with which this data can be incorporated into underwriting and claims decisions [448, 449]. These limitations leave a gap between the data-rich environments of modern industrial systems and the information insurers can reliably use in practice [447, 448, 449].</w:t>
      </w:r>
    </w:p>
    <w:p w:rsidR="00000000" w:rsidDel="00000000" w:rsidP="00000000" w:rsidRDefault="00000000" w:rsidRPr="00000000" w14:paraId="00000006">
      <w:pPr>
        <w:spacing w:after="240" w:before="240" w:lineRule="auto"/>
        <w:rPr>
          <w:sz w:val="14"/>
          <w:szCs w:val="14"/>
        </w:rPr>
      </w:pPr>
      <w:r w:rsidDel="00000000" w:rsidR="00000000" w:rsidRPr="00000000">
        <w:rPr>
          <w:sz w:val="14"/>
          <w:szCs w:val="14"/>
          <w:rtl w:val="0"/>
        </w:rPr>
        <w:t>This mismatch defines an opportunity space at the intersection of insurance and industrial AI. Digital twins and connected risk models could support more forward-looking risk assessment and scenario analysis before losses occur [447]. More broadly, recent insurance literature points toward a shift in which technology supports not only retrospective compensation, but also more continuous forms of monitoring, risk reduction, and prevention [446, 448]. At the same time, AI-related failure modes may create coverage ambiguity because losses can be context-dependent, and assigning responsibility across software developers, equipment manufacturers, integrators, and plant operators can be difficult [443, 445]. Better sensor data, remote monitoring, and more automated claims workflows also create the potential for faster and more accurate claims handling [448, 449, 450].</w:t>
      </w:r>
    </w:p>
    <w:p w:rsidR="00000000" w:rsidDel="00000000" w:rsidP="00000000" w:rsidRDefault="00000000" w:rsidRPr="00000000" w14:paraId="00000007">
      <w:pPr>
        <w:spacing w:after="240" w:before="240" w:lineRule="auto"/>
        <w:rPr>
          <w:sz w:val="14"/>
          <w:szCs w:val="14"/>
        </w:rPr>
      </w:pPr>
      <w:r w:rsidDel="00000000" w:rsidR="00000000" w:rsidRPr="00000000">
        <w:rPr>
          <w:sz w:val="14"/>
          <w:szCs w:val="14"/>
          <w:rtl w:val="0"/>
        </w:rPr>
        <w:t>Taken together, these developments suggest that insurance in industrial AI may become more continuous, embedded, and operational. Rather than only absorbing losses after harm occurs, insurers and adjacent players may increasingly help measure, simulate, price, and prevent risk in near real-time [446, 447, 448]. Such a transition expands the opportunity beyond conventional policies toward AI-enabled underwriting, dynamic coverage models, digital assurance, and prevention tools built more directly into industrial operations [446, 447, 448, 450].</w:t>
      </w:r>
    </w:p>
    <w:p w:rsidR="00000000" w:rsidDel="00000000" w:rsidP="00000000" w:rsidRDefault="00000000" w:rsidRPr="00000000" w14:paraId="00000008">
      <w:pPr>
        <w:spacing w:line="240" w:lineRule="auto"/>
        <w:rPr>
          <w:sz w:val="14"/>
          <w:szCs w:val="1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Bdr>
        <w:top w:color="000000" w:space="0" w:sz="0" w:val="none"/>
        <w:left w:color="000000" w:space="0" w:sz="0" w:val="none"/>
        <w:bottom w:color="000000" w:space="0" w:sz="0" w:val="none"/>
        <w:right w:color="000000" w:space="0" w:sz="0" w:val="none"/>
        <w:between w:color="000000" w:space="0" w:sz="0" w:val="none"/>
      </w:pBdr>
      <w:spacing w:line="240" w:lineRule="auto"/>
      <w:jc w:val="both"/>
    </w:pPr>
    <w:rPr>
      <w:rFonts w:ascii="Avenir" w:cs="Avenir" w:eastAsia="Avenir" w:hAnsi="Avenir"/>
      <w:b w:val="1"/>
      <w:bCs w:val="1"/>
      <w:color w:val="5b9bd5"/>
      <w:sz w:val="24"/>
      <w:szCs w:val="24"/>
    </w:rPr>
  </w:style>
  <w:style w:type="paragraph" w:styleId="Heading2">
    <w:name w:val="heading 2"/>
    <w:basedOn w:val="Normal"/>
    <w:next w:val="Normal"/>
    <w:pPr>
      <w:keepNext w:val="1"/>
      <w:keepLines w:val="1"/>
      <w:pBdr>
        <w:top w:color="000000" w:space="0" w:sz="0" w:val="none"/>
        <w:left w:color="000000" w:space="0" w:sz="0" w:val="none"/>
        <w:bottom w:color="000000" w:space="0" w:sz="0" w:val="none"/>
        <w:right w:color="000000" w:space="0" w:sz="0" w:val="none"/>
        <w:between w:color="000000" w:space="0" w:sz="0" w:val="none"/>
      </w:pBdr>
      <w:spacing w:before="240" w:line="360" w:lineRule="auto"/>
      <w:jc w:val="both"/>
    </w:pPr>
    <w:rPr>
      <w:rFonts w:ascii="Avenir" w:cs="Avenir" w:eastAsia="Avenir" w:hAnsi="Avenir"/>
      <w:b w:val="1"/>
      <w:bCs w:val="1"/>
      <w:color w:val="024ea2"/>
      <w:sz w:val="15"/>
      <w:szCs w:val="15"/>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mckinsey.com/industries/financial-services/our-insights/how-top-tech-trends-will-transform-insurance" TargetMode="External"/><Relationship Id="rId10" Type="http://schemas.openxmlformats.org/officeDocument/2006/relationships/hyperlink" Target="https://www.academia.edu/95230346/Data_Logistics_and_Ai_in_Insurance_Risk_Management" TargetMode="External"/><Relationship Id="rId12" Type="http://schemas.openxmlformats.org/officeDocument/2006/relationships/hyperlink" Target="https://doi.org/10.1787/2f5c18ac-en" TargetMode="External"/><Relationship Id="rId9" Type="http://schemas.openxmlformats.org/officeDocument/2006/relationships/hyperlink" Target="https://www.swissre.com/risk-knowledge/risk-perspectives-blog/reimagining-insurance-with-technology.html" TargetMode="External"/><Relationship Id="rId5" Type="http://schemas.openxmlformats.org/officeDocument/2006/relationships/styles" Target="styles.xml"/><Relationship Id="rId6" Type="http://schemas.openxmlformats.org/officeDocument/2006/relationships/hyperlink" Target="https://arxiv.org/abs/1606.06565" TargetMode="External"/><Relationship Id="rId7" Type="http://schemas.openxmlformats.org/officeDocument/2006/relationships/hyperlink" Target="https://arxiv.org/abs/1601.04126" TargetMode="External"/><Relationship Id="rId8" Type="http://schemas.openxmlformats.org/officeDocument/2006/relationships/hyperlink" Target="https://doi.org/10.1017/97811086317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