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DISTRIBUTED FACTORY INTELLIGENCE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Breaking Automation Silos with an Interoperable Intelligence Layer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Today's factory software stack remains constrained by vendor-specific integrations, monolithic </w:t>
      </w:r>
      <w:commentRangeStart w:id="0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MES/SCADA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logic, and brittle point-to-point automation that breaks when product mix, routing, or machine state changes [482]. That is why we are seeing a transition from isolated islands of equipment into a new paradigm that treats the factory as a distributed physical system [483]. Standards such as </w:t>
      </w:r>
      <w:commentRangeStart w:id="1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VDA 5050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are beginning to normalize fleet interoperability [484], and initiatives focused on adapters that enable legacy equipment to communicate with new management systems [485] create new opportunities for management optimization.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Multi-agent systems offer a powerful way to orchestrate this network. Each asset operates autonomously, handling exceptions locally and avoiding the single points of failure, throughput ceilings, and compounding latency of centralized control [486, 487]. A single agent with full context recreates this bottleneck in software. Coordination can degrade sequential tasks as handoffs fragment context [488], yet multi-agents show emergent robustness absent in single-agent setups [487].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While large OEMs can build proprietary stacks, mid-size manufacturers are limited by integration budgets and heterogeneous equipment, facing disproportionate barriers including high integration costs, limited IT capacity, and incompatible legacy systems [489]. Only around 30% of manufacturers have scaled digital solutions beyond pilot [490], and the middleware market is set to grow from $24.4B to $40.2B by 2033 [491], signaling a large underserved vertical for cross-vendor coordination.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“The biggest gap is the integration layer that makes things work. It’s very hard for robot manufacturers to be globally competitive with different services.” - Benjamin Erhart, Partner at UVC Partners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Noah Grohganz" w:id="1" w:date="2026-04-01T10:45:04Z"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ABBR ?</w:t>
      </w:r>
    </w:p>
  </w:comment>
  <w:comment w:author="Noah Grohganz" w:id="0" w:date="2026-04-01T10:24:31Z"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ABBR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hyperlink" Target="https://www.newstrail.com/integration-orchestration-middleware-market-to-hit-40-2b-by-2033-at-7-4-cagr-growth/" TargetMode="External"/><Relationship Id="rId10" Type="http://schemas.openxmlformats.org/officeDocument/2006/relationships/hyperlink" Target="https://www.mckinsey.com/capabilities/operations/our-insights/how-digital-manufacturing-can-escape-pilot-purgatory" TargetMode="External"/><Relationship Id="rId12" Type="http://schemas.openxmlformats.org/officeDocument/2006/relationships/hyperlink" Target="https://www.newstrail.com/integration-orchestration-middleware-market-to-hit-40-2b-by-2033-at-7-4-cagr-growth/" TargetMode="External"/><Relationship Id="rId9" Type="http://schemas.openxmlformats.org/officeDocument/2006/relationships/hyperlink" Target="https://www.mckinsey.com/capabilities/operations/our-insights/how-digital-manufacturing-can-escape-pilot-purgatory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vda.de/dam/jcr:f0c9c019-1506-4dee-998a-e92723fbf025/EN-VDA5050-V2_0_0.pdf" TargetMode="External"/><Relationship Id="rId8" Type="http://schemas.openxmlformats.org/officeDocument/2006/relationships/hyperlink" Target="https://www.vda.de/dam/jcr:f0c9c019-1506-4dee-998a-e92723fbf025/EN-VDA5050-V2_0_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