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Orchestrating the Resource Loop</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color w:val="3c3f42"/>
          <w:sz w:val="18"/>
          <w:szCs w:val="18"/>
          <w:rtl w:val="0"/>
        </w:rPr>
        <w:t xml:space="preserve">Leveraging Digital Product Passports to Enable Closed-Loop Material Systems</w:t>
      </w:r>
      <w:r w:rsidDel="00000000" w:rsidR="00000000" w:rsidRPr="00000000">
        <w:rPr>
          <w:rtl w:val="0"/>
        </w:rPr>
      </w:r>
    </w:p>
    <w:p w:rsidR="00000000" w:rsidDel="00000000" w:rsidP="00000000" w:rsidRDefault="00000000" w:rsidRPr="00000000" w14:paraId="00000003">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4">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The proliferation of AI-enabled industrial products is simultaneously intensifying demand for critical raw materials and creating conditions for more effective recovery within industrial systems</w:t>
      </w:r>
      <w:r w:rsidDel="00000000" w:rsidR="00000000" w:rsidRPr="00000000">
        <w:rPr>
          <w:rFonts w:ascii="Avenir" w:cs="Avenir" w:eastAsia="Avenir" w:hAnsi="Avenir"/>
          <w:sz w:val="15"/>
          <w:szCs w:val="15"/>
          <w:rtl w:val="0"/>
        </w:rPr>
        <w:t xml:space="preserve"> Increasingly, AI-enabled products are growing more complex, more reliant on rare earth elements, and increasingly difficult to process at end-of-life, outpacing the capacity of existing recycling infrastructure to extract value economically [504, 505].</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 Yet this is precisely where systemic action remains absent. Currently, materials that hold substantial strategic value are being lost at scale. Only if supply chains can be made traceable and recovery infrastructure intelligently orchestrated can value be retained. Three interconnected challenges define the gap between the materials industrial systems consume and those they recover. </w:t>
      </w:r>
    </w:p>
    <w:p w:rsidR="00000000" w:rsidDel="00000000" w:rsidP="00000000" w:rsidRDefault="00000000" w:rsidRPr="00000000" w14:paraId="00000005">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6">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first challenge </w:t>
      </w:r>
      <w:r w:rsidDel="00000000" w:rsidR="00000000" w:rsidRPr="00000000">
        <w:rPr>
          <w:rFonts w:ascii="Avenir" w:cs="Avenir" w:eastAsia="Avenir" w:hAnsi="Avenir"/>
          <w:sz w:val="15"/>
          <w:szCs w:val="15"/>
          <w:rtl w:val="0"/>
        </w:rPr>
        <w:t>is material recovery. Globally, only approximately 1% of rare earths are recovered from end-of-life products [506, 507]</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 while the </w:t>
      </w:r>
      <w:r w:rsidDel="00000000" w:rsidR="00000000" w:rsidRPr="00000000">
        <w:rPr>
          <w:rFonts w:ascii="Avenir" w:cs="Avenir" w:eastAsia="Avenir" w:hAnsi="Avenir"/>
          <w:sz w:val="15"/>
          <w:szCs w:val="15"/>
          <w:rtl w:val="0"/>
        </w:rPr>
        <w:t xml:space="preserve">EU</w:t>
      </w:r>
      <w:r w:rsidDel="00000000" w:rsidR="00000000" w:rsidRPr="00000000">
        <w:rPr>
          <w:rFonts w:ascii="Avenir" w:cs="Avenir" w:eastAsia="Avenir" w:hAnsi="Avenir"/>
          <w:sz w:val="15"/>
          <w:szCs w:val="15"/>
          <w:rtl w:val="0"/>
        </w:rPr>
        <w:t xml:space="preserve"> imports 95% of its rare earth supply and collects just 37.5% of its e-waste against a 65% target [508, 509]</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Existing operators only recover what is economically feasible, leaving the remainder lost or handled under uncontrolled conditions elsewhere [510, 511]</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AI as an orchestration layer routing end-of-life material streams based on real-time composition data has foundational demonstrations in adjacent circular economy applications [299]</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Without building this recovery infrastructure, the EU Critical Raw Materials Act’s guideline of 25% domestic recycling of strategic materials by 2030 will remain structurally out of reach [512]</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w:t>
      </w:r>
    </w:p>
    <w:p w:rsidR="00000000" w:rsidDel="00000000" w:rsidP="00000000" w:rsidRDefault="00000000" w:rsidRPr="00000000" w14:paraId="00000007">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8">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The second challenge is product data infrastructure. Industrial supply chains generate information across fundamentally incompatible systems so that composition records, environmental footprints, and lifecycle handling requirements are rarely captured in consistent or interoperable formats [513, 514]</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 The EU Ecodesign for Sustainable Products Regulation mandates DPPs as a direct response, requiring structured digital records of a product's composition, environmental impact, and lifecycle </w:t>
      </w:r>
      <w:r w:rsidDel="00000000" w:rsidR="00000000" w:rsidRPr="00000000">
        <w:rPr>
          <w:rFonts w:ascii="Avenir" w:cs="Avenir" w:eastAsia="Avenir" w:hAnsi="Avenir"/>
          <w:sz w:val="15"/>
          <w:szCs w:val="15"/>
          <w:rtl w:val="0"/>
        </w:rPr>
        <w:t xml:space="preserve">management, with non-compliance resulting in</w:t>
      </w:r>
      <w:r w:rsidDel="00000000" w:rsidR="00000000" w:rsidRPr="00000000">
        <w:rPr>
          <w:rFonts w:ascii="Avenir" w:cs="Avenir" w:eastAsia="Avenir" w:hAnsi="Avenir"/>
          <w:sz w:val="15"/>
          <w:szCs w:val="15"/>
          <w:rtl w:val="0"/>
        </w:rPr>
        <w:t xml:space="preserve"> exclusion from the EU market [515]</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Batteries face this requirement from 2027, with e.g., textiles or electronics following through 2030 [377, 516].</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w:t>
      </w:r>
      <w:r w:rsidDel="00000000" w:rsidR="00000000" w:rsidRPr="00000000">
        <w:rPr>
          <w:rFonts w:ascii="Avenir" w:cs="Avenir" w:eastAsia="Avenir" w:hAnsi="Avenir"/>
          <w:sz w:val="15"/>
          <w:szCs w:val="15"/>
          <w:rtl w:val="0"/>
        </w:rPr>
        <w:t xml:space="preserve"> </w:t>
      </w:r>
      <w:r w:rsidDel="00000000" w:rsidR="00000000" w:rsidRPr="00000000">
        <w:rPr>
          <w:rFonts w:ascii="Avenir" w:cs="Avenir" w:eastAsia="Avenir" w:hAnsi="Avenir"/>
          <w:sz w:val="15"/>
          <w:szCs w:val="15"/>
          <w:rtl w:val="0"/>
        </w:rPr>
        <w:t>Firms implementing DPPs solely for compliance are missing the circular business models the underlying data infrastructure makes possible [517]</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w:t>
      </w:r>
    </w:p>
    <w:p w:rsidR="00000000" w:rsidDel="00000000" w:rsidP="00000000" w:rsidRDefault="00000000" w:rsidRPr="00000000" w14:paraId="00000009">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A">
      <w:pPr>
        <w:spacing w:after="0" w:before="0" w:line="240" w:lineRule="auto"/>
        <w:jc w:val="both"/>
        <w:rPr>
          <w:rFonts w:ascii="Avenir" w:cs="Avenir" w:eastAsia="Avenir" w:hAnsi="Avenir"/>
          <w:sz w:val="15"/>
          <w:szCs w:val="15"/>
        </w:rPr>
      </w:pPr>
      <w:r w:rsidDel="00000000" w:rsidR="00000000" w:rsidRPr="00000000">
        <w:rPr>
          <w:rFonts w:ascii="Avenir" w:cs="Avenir" w:eastAsia="Avenir" w:hAnsi="Avenir"/>
          <w:sz w:val="15"/>
          <w:szCs w:val="15"/>
          <w:rtl w:val="0"/>
        </w:rPr>
        <w:t xml:space="preserve">The third challenge is </w:t>
      </w:r>
      <w:r w:rsidDel="00000000" w:rsidR="00000000" w:rsidRPr="00000000">
        <w:rPr>
          <w:rFonts w:ascii="Avenir" w:cs="Avenir" w:eastAsia="Avenir" w:hAnsi="Avenir"/>
          <w:sz w:val="15"/>
          <w:szCs w:val="15"/>
          <w:rtl w:val="0"/>
        </w:rPr>
        <w:t xml:space="preserve">designing</w:t>
      </w:r>
      <w:r w:rsidDel="00000000" w:rsidR="00000000" w:rsidRPr="00000000">
        <w:rPr>
          <w:rFonts w:ascii="Avenir" w:cs="Avenir" w:eastAsia="Avenir" w:hAnsi="Avenir"/>
          <w:sz w:val="15"/>
          <w:szCs w:val="15"/>
          <w:rtl w:val="0"/>
        </w:rPr>
        <w:t xml:space="preserve"> for longer</w:t>
      </w:r>
      <w:r w:rsidDel="00000000" w:rsidR="00000000" w:rsidRPr="00000000">
        <w:rPr>
          <w:rFonts w:ascii="Avenir" w:cs="Avenir" w:eastAsia="Avenir" w:hAnsi="Avenir"/>
          <w:sz w:val="15"/>
          <w:szCs w:val="15"/>
          <w:rtl w:val="0"/>
        </w:rPr>
        <w:t xml:space="preserve">, more sustainable</w:t>
      </w:r>
      <w:r w:rsidDel="00000000" w:rsidR="00000000" w:rsidRPr="00000000">
        <w:rPr>
          <w:rFonts w:ascii="Avenir" w:cs="Avenir" w:eastAsia="Avenir" w:hAnsi="Avenir"/>
          <w:sz w:val="15"/>
          <w:szCs w:val="15"/>
          <w:rtl w:val="0"/>
        </w:rPr>
        <w:t xml:space="preserve"> lifecycles. Even where manufacturers hold detailed knowledge of their products’ composition and performance characteristics, they historically lose control over assets after the point of sale, weakening incentives for lifecycle optimization [518, 519]</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 AI-powered predictive and prescriptive maintenance, outcome-based models such as </w:t>
      </w:r>
      <w:r w:rsidDel="00000000" w:rsidR="00000000" w:rsidRPr="00000000">
        <w:rPr>
          <w:rFonts w:ascii="Avenir" w:cs="Avenir" w:eastAsia="Avenir" w:hAnsi="Avenir"/>
          <w:sz w:val="15"/>
          <w:szCs w:val="15"/>
          <w:rtl w:val="0"/>
        </w:rPr>
        <w:t xml:space="preserve">EaaS</w:t>
      </w:r>
      <w:r w:rsidDel="00000000" w:rsidR="00000000" w:rsidRPr="00000000">
        <w:rPr>
          <w:rFonts w:ascii="Avenir" w:cs="Avenir" w:eastAsia="Avenir" w:hAnsi="Avenir"/>
          <w:sz w:val="15"/>
          <w:szCs w:val="15"/>
          <w:rtl w:val="0"/>
        </w:rPr>
        <w:t xml:space="preserve">, or AI-driven design for circularity embedded in </w:t>
      </w:r>
      <w:r w:rsidDel="00000000" w:rsidR="00000000" w:rsidRPr="00000000">
        <w:rPr>
          <w:rFonts w:ascii="Avenir" w:cs="Avenir" w:eastAsia="Avenir" w:hAnsi="Avenir"/>
          <w:sz w:val="15"/>
          <w:szCs w:val="15"/>
          <w:rtl w:val="0"/>
        </w:rPr>
        <w:t xml:space="preserve">CAD</w:t>
      </w:r>
      <w:r w:rsidDel="00000000" w:rsidR="00000000" w:rsidRPr="00000000">
        <w:rPr>
          <w:rFonts w:ascii="Avenir" w:cs="Avenir" w:eastAsia="Avenir" w:hAnsi="Avenir"/>
          <w:sz w:val="15"/>
          <w:szCs w:val="15"/>
          <w:rtl w:val="0"/>
        </w:rPr>
        <w:t xml:space="preserve"> workflows offer a path to realigning those incentives [5, 6, 236, 520, 521]</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Modular design strategies could allow OEMs to capture aftermarket revenue at approximately twice the margin of equipment sales [522]</w:t>
      </w:r>
      <w:r w:rsidDel="00000000" w:rsidR="00000000" w:rsidRPr="00000000">
        <w:rPr>
          <w:rFonts w:ascii="Avenir" w:cs="Avenir" w:eastAsia="Avenir" w:hAnsi="Avenir"/>
          <w:sz w:val="15"/>
          <w:szCs w:val="15"/>
          <w:rtl w:val="0"/>
        </w:rPr>
      </w:r>
      <w:r w:rsidDel="00000000" w:rsidR="00000000" w:rsidRPr="00000000">
        <w:rPr>
          <w:rFonts w:ascii="Avenir" w:cs="Avenir" w:eastAsia="Avenir" w:hAnsi="Avenir"/>
          <w:sz w:val="15"/>
          <w:szCs w:val="15"/>
          <w:rtl w:val="0"/>
        </w:rPr>
        <w:t xml:space="preserve">. </w:t>
      </w:r>
    </w:p>
    <w:p w:rsidR="00000000" w:rsidDel="00000000" w:rsidP="00000000" w:rsidRDefault="00000000" w:rsidRPr="00000000" w14:paraId="0000000B">
      <w:pPr>
        <w:spacing w:after="0" w:before="0" w:line="240" w:lineRule="auto"/>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0C">
      <w:pPr>
        <w:spacing w:after="0" w:before="0" w:line="240" w:lineRule="auto"/>
        <w:rPr>
          <w:rFonts w:ascii="Avenir" w:cs="Avenir" w:eastAsia="Avenir" w:hAnsi="Avenir"/>
          <w:sz w:val="15"/>
          <w:szCs w:val="15"/>
        </w:rPr>
      </w:pPr>
      <w:r w:rsidDel="00000000" w:rsidR="00000000" w:rsidRPr="00000000">
        <w:rPr>
          <w:rtl w:val="0"/>
        </w:rPr>
      </w:r>
    </w:p>
    <w:sectPr>
      <w:headerReference r:id="rId1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eur-lex.europa.eu/legal-content/EN/TXT/?uri=CELEX%3A32024R1781&amp;qid=1719580391746" TargetMode="External"/><Relationship Id="rId10" Type="http://schemas.openxmlformats.org/officeDocument/2006/relationships/hyperlink" Target="https://eur-lex.europa.eu/legal-content/EN/TXT/?uri=CELEX%3A32024R1252" TargetMode="External"/><Relationship Id="rId13" Type="http://schemas.openxmlformats.org/officeDocument/2006/relationships/hyperlink" Target="https://eur-lex.europa.eu/legal-content/EN/TXT/?uri=CELEX:52025DC0187" TargetMode="External"/><Relationship Id="rId12" Type="http://schemas.openxmlformats.org/officeDocument/2006/relationships/hyperlink" Target="http://data.europa.eu/eli/reg/2023/1542/oj"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llenmacarthurfoundation.org/artificial-intelligence-and-the-circular-economy" TargetMode="External"/><Relationship Id="rId15" Type="http://schemas.openxmlformats.org/officeDocument/2006/relationships/hyperlink" Target="https://www.mckinsey.com/capabilities/operations/our-insights/manufacturing-analytics-unleashes-productivity-and-profitability" TargetMode="External"/><Relationship Id="rId14" Type="http://schemas.openxmlformats.org/officeDocument/2006/relationships/hyperlink" Target="https://www.hannovermesse.de/apollo/hannover_messe_2021/obs/Binary/A1086204/EN%20-%20Enabling%20the%20EaaS%20Model-Insurance%20and%20Financing%20Strategies%20LR.pdf" TargetMode="External"/><Relationship Id="rId17" Type="http://schemas.openxmlformats.org/officeDocument/2006/relationships/hyperlink" Target="https://www.mckinsey.com/~/media/mckinsey/industries/advanced%20electronics/our%20insights/why%20aftermarket%20and%20service%20are%20vital%20to%20oems%20and%20how%20to%20excel/why-aftermarket-and-service-are-vital-to-oems-and-how-to-excel-vf.pdf" TargetMode="External"/><Relationship Id="rId16" Type="http://schemas.openxmlformats.org/officeDocument/2006/relationships/hyperlink" Target="https://assets.new.siemens.com/siemens/assets/api/uuid:8ee59c19-1c37-4516-a290-2844096f1cff/Readiness-Report-2023_original.pdf" TargetMode="External"/><Relationship Id="rId5" Type="http://schemas.openxmlformats.org/officeDocument/2006/relationships/styles" Target="styles.xml"/><Relationship Id="rId6" Type="http://schemas.openxmlformats.org/officeDocument/2006/relationships/hyperlink" Target="https://ec.europa.eu/eurostat/statistics-explained/index.php?title=International_trade_in_critical_raw_materials" TargetMode="External"/><Relationship Id="rId18" Type="http://schemas.openxmlformats.org/officeDocument/2006/relationships/header" Target="header1.xml"/><Relationship Id="rId7" Type="http://schemas.openxmlformats.org/officeDocument/2006/relationships/hyperlink" Target="https://ec.europa.eu/eurostat/statistics-explained/index.php?title=Waste_statistics_-_electrical_and_electronic_equipment" TargetMode="External"/><Relationship Id="rId8" Type="http://schemas.openxmlformats.org/officeDocument/2006/relationships/hyperlink" Target="https://www.international-partnerships.ec.europa.eu/policies/programming/projects/e-waste-management-ghana-grave-cradle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