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Complena</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8"/>
          <w:szCs w:val="18"/>
        </w:rPr>
      </w:pPr>
      <w:r w:rsidDel="00000000" w:rsidR="00000000" w:rsidRPr="00000000">
        <w:rPr>
          <w:rFonts w:ascii="Avenir" w:cs="Avenir" w:eastAsia="Avenir" w:hAnsi="Avenir"/>
          <w:color w:val="3c3f42"/>
          <w:sz w:val="18"/>
          <w:szCs w:val="18"/>
          <w:rtl w:val="0"/>
        </w:rPr>
        <w:t xml:space="preserve">Continuous Compliance</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Environmental regulations affecting manufacturers across Europe, from the ESPR and its Digital Product Passport to evolving sustainability reporting requirements, are not only growing in scope but shifting in unpredictable ways with limited clarity on what to report, as shown by the recent Omnibus package that significantly altered reporting obligations overnight [247][624]. For SMEs, the challenge is not just today's compliance but </w:t>
      </w:r>
      <w:r w:rsidDel="00000000" w:rsidR="00000000" w:rsidRPr="00000000">
        <w:rPr>
          <w:rFonts w:ascii="Avenir" w:cs="Avenir" w:eastAsia="Avenir" w:hAnsi="Avenir"/>
          <w:color w:val="3c3f42"/>
          <w:sz w:val="15"/>
          <w:szCs w:val="15"/>
          <w:rtl w:val="0"/>
        </w:rPr>
        <w:t xml:space="preserve">also the uncertainty about </w:t>
      </w:r>
      <w:r w:rsidDel="00000000" w:rsidR="00000000" w:rsidRPr="00000000">
        <w:rPr>
          <w:rFonts w:ascii="Avenir" w:cs="Avenir" w:eastAsia="Avenir" w:hAnsi="Avenir"/>
          <w:color w:val="3c3f42"/>
          <w:sz w:val="15"/>
          <w:szCs w:val="15"/>
          <w:rtl w:val="0"/>
        </w:rPr>
        <w:t>what data they will need tomorrow. A survey of over 1,000 German firms found that two-thirds were either not aware of the Digital Product Passport or did not consider it relevant, and only 4% had taken steps to prepare [513]. Collecting environmental product data manually is slow and expensive, while creating it from scratch where it does not exist is even harder, particularly for SMEs without dedicated compliance teams [625].</w:t>
      </w: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Complena’s first target customer group is machine builders and industrial SMEs who buy components from large manufacturers such as Siemens. Unlike most suppliers, these large manufacturers already publish detailed product-level environmental data [626], including CO2 emissions, water usage, and material composition, but this information is scattered across unstructured public sources. Complena’s customers need exactly this data to build their own product-level environmental profiles, and currently, they do it by hand.</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Complena solves this in two steps. First, AI automatically retrieves, reads, and structures product-level environmental data from public unstructured sources. Customers map which supplier components go into which of their own products. When a supplier updates their environmental data, the change automatically flows into every dependent product. Suppliers are then rated on how complete and available their environmental data is, creating a natural incentive to improve.</w:t>
        <w:br w:type="textWrapping"/>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Secondly, not all suppliers </w:t>
      </w:r>
      <w:r w:rsidDel="00000000" w:rsidR="00000000" w:rsidRPr="00000000">
        <w:rPr>
          <w:rFonts w:ascii="Avenir" w:cs="Avenir" w:eastAsia="Avenir" w:hAnsi="Avenir"/>
          <w:color w:val="3c3f42"/>
          <w:sz w:val="15"/>
          <w:szCs w:val="15"/>
          <w:rtl w:val="0"/>
        </w:rPr>
        <w:t xml:space="preserve">have</w:t>
      </w:r>
      <w:r w:rsidDel="00000000" w:rsidR="00000000" w:rsidRPr="00000000">
        <w:rPr>
          <w:rFonts w:ascii="Avenir" w:cs="Avenir" w:eastAsia="Avenir" w:hAnsi="Avenir"/>
          <w:color w:val="3c3f42"/>
          <w:sz w:val="15"/>
          <w:szCs w:val="15"/>
          <w:rtl w:val="0"/>
        </w:rPr>
        <w:t xml:space="preserve"> the needed environmental data yet [374]. Where data is missing, Complena flags this clearly so customers know exactly which suppliers have gaps. This is why Complena</w:t>
      </w:r>
      <w:r w:rsidDel="00000000" w:rsidR="00000000" w:rsidRPr="00000000">
        <w:rPr>
          <w:rFonts w:ascii="Avenir" w:cs="Avenir" w:eastAsia="Avenir" w:hAnsi="Avenir"/>
          <w:color w:val="3c3f42"/>
          <w:sz w:val="15"/>
          <w:szCs w:val="15"/>
          <w:rtl w:val="0"/>
        </w:rPr>
        <w:t xml:space="preserve"> starts</w:t>
      </w:r>
      <w:r w:rsidDel="00000000" w:rsidR="00000000" w:rsidRPr="00000000">
        <w:rPr>
          <w:rFonts w:ascii="Avenir" w:cs="Avenir" w:eastAsia="Avenir" w:hAnsi="Avenir"/>
          <w:color w:val="3c3f42"/>
          <w:sz w:val="15"/>
          <w:szCs w:val="15"/>
          <w:rtl w:val="0"/>
        </w:rPr>
        <w:t xml:space="preserve"> with SMEs who buy from large manufacturers like Siemens: much of the data already exists and is publicly available, giving customers a strong foundation from day one. For the remaining gaps, customers can request the missing information or consider alternatives with better data coverage.</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core value of Complena is simple: we turn unstructured public information and raw production data </w:t>
      </w:r>
      <w:r w:rsidDel="00000000" w:rsidR="00000000" w:rsidRPr="00000000">
        <w:rPr>
          <w:rFonts w:ascii="Avenir" w:cs="Avenir" w:eastAsia="Avenir" w:hAnsi="Avenir"/>
          <w:color w:val="3c3f42"/>
          <w:sz w:val="15"/>
          <w:szCs w:val="15"/>
          <w:rtl w:val="0"/>
        </w:rPr>
        <w:t xml:space="preserve">are</w:t>
      </w:r>
      <w:r w:rsidDel="00000000" w:rsidR="00000000" w:rsidRPr="00000000">
        <w:rPr>
          <w:rFonts w:ascii="Avenir" w:cs="Avenir" w:eastAsia="Avenir" w:hAnsi="Avenir"/>
          <w:color w:val="3c3f42"/>
          <w:sz w:val="15"/>
          <w:szCs w:val="15"/>
          <w:rtl w:val="0"/>
        </w:rPr>
        <w:t xml:space="preserve"> turned into a structured, living data layer that covers the entire supplier network. This removes the need for manual data collection and makes environmental data readiness not a one-time project but a continuous, automated process, so that when regulations arrive, shift, or expand, the data is already there.</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4"/>
          <w:szCs w:val="14"/>
        </w:rPr>
      </w:pP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4"/>
          <w:szCs w:val="14"/>
          <w:highlight w:val="white"/>
        </w:rPr>
      </w:pP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20"/>
          <w:szCs w:val="20"/>
        </w:rPr>
      </w:pPr>
      <w:r w:rsidDel="00000000" w:rsidR="00000000" w:rsidRPr="00000000">
        <w:rPr>
          <w:rtl w:val="0"/>
        </w:rPr>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Problem</w:t>
      </w:r>
      <w:r w:rsidDel="00000000" w:rsidR="00000000" w:rsidRPr="00000000">
        <w:rPr>
          <w:rtl w:val="0"/>
        </w:rPr>
      </w:r>
    </w:p>
    <w:p w:rsidR="00000000" w:rsidDel="00000000" w:rsidP="00000000" w:rsidRDefault="00000000" w:rsidRPr="00000000" w14:paraId="00000019">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EU regulations such as the ESPR are introducing mandatory product-level data requirements, starting with battery passports in 2027 and expanding to textiles, aluminum, and other categories through 2030, yet 81% of European companies lack the structured lifecycle data needed for compliance [247][625].</w:t>
      </w:r>
    </w:p>
    <w:p w:rsidR="00000000" w:rsidDel="00000000" w:rsidP="00000000" w:rsidRDefault="00000000" w:rsidRPr="00000000" w14:paraId="0000001A">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The regulatory landscape itself is unstable. The Omnibus package reduced CSRD reporting scope by roughly 90%, while ESPR obligations continue to expand through new delegated acts. SMEs cannot plan around requirements that shift between policy cycles [624].</w:t>
      </w:r>
    </w:p>
    <w:p w:rsidR="00000000" w:rsidDel="00000000" w:rsidP="00000000" w:rsidRDefault="00000000" w:rsidRPr="00000000" w14:paraId="0000001B">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Most manufacturers are not prepared. A survey of over 1,000 German firms found that two-thirds were not aware of the Digital Product Passport or did not consider it relevant, and only 4% had taken steps to prepare [513].</w:t>
      </w:r>
    </w:p>
    <w:p w:rsidR="00000000" w:rsidDel="00000000" w:rsidP="00000000" w:rsidRDefault="00000000" w:rsidRPr="00000000" w14:paraId="0000001C">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This data gap cannot be closed retroactively. Product-level environmental assessments require primary data collected during manufacturing [627]. SMEs that delay building structured data now risk facing compliance deadlines without the records to meet them.</w:t>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rtl w:val="0"/>
        </w:rPr>
        <w:t xml:space="preserve">SMEs are drowning in fragmented environmental product data as compliance requirements become increasingly complex.</w:t>
      </w:r>
    </w:p>
    <w:p w:rsidR="00000000" w:rsidDel="00000000" w:rsidP="00000000" w:rsidRDefault="00000000" w:rsidRPr="00000000" w14:paraId="0000001E">
      <w:pPr>
        <w:widowControl w:val="0"/>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highlight w:val="yellow"/>
        </w:rPr>
      </w:pPr>
      <w:r w:rsidDel="00000000" w:rsidR="00000000" w:rsidRPr="00000000">
        <w:rPr>
          <w:rFonts w:ascii="Avenir" w:cs="Avenir" w:eastAsia="Avenir" w:hAnsi="Avenir"/>
          <w:b w:val="1"/>
          <w:bCs w:val="1"/>
          <w:color w:val="5b9bd5"/>
          <w:sz w:val="24"/>
          <w:szCs w:val="24"/>
          <w:rtl w:val="0"/>
        </w:rPr>
        <w:t xml:space="preserve">Solution</w:t>
      </w:r>
      <w:r w:rsidDel="00000000" w:rsidR="00000000" w:rsidRPr="00000000">
        <w:rPr>
          <w:rtl w:val="0"/>
        </w:rPr>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1">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Complena automatically retrieves and structures product-level environmental data from public sources such as EPDs, datasheets, and product pages without manual uploads or dedicated compliance staff [626].</w:t>
      </w:r>
    </w:p>
    <w:p w:rsidR="00000000" w:rsidDel="00000000" w:rsidP="00000000" w:rsidRDefault="00000000" w:rsidRPr="00000000" w14:paraId="00000022">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Customers map which supplier components go into which of their products. When a supplier updates their data, the change </w:t>
      </w:r>
      <w:r w:rsidDel="00000000" w:rsidR="00000000" w:rsidRPr="00000000">
        <w:rPr>
          <w:rFonts w:ascii="Avenir" w:cs="Avenir" w:eastAsia="Avenir" w:hAnsi="Avenir"/>
          <w:b w:val="1"/>
          <w:bCs w:val="1"/>
          <w:color w:val="3c3f42"/>
          <w:sz w:val="15"/>
          <w:szCs w:val="15"/>
          <w:rtl w:val="0"/>
        </w:rPr>
        <w:t xml:space="preserve">automatically flows into every dependent product record</w:t>
      </w:r>
      <w:r w:rsidDel="00000000" w:rsidR="00000000" w:rsidRPr="00000000">
        <w:rPr>
          <w:rFonts w:ascii="Avenir" w:cs="Avenir" w:eastAsia="Avenir" w:hAnsi="Avenir"/>
          <w:b w:val="1"/>
          <w:bCs w:val="1"/>
          <w:color w:val="3c3f42"/>
          <w:sz w:val="15"/>
          <w:szCs w:val="15"/>
          <w:rtl w:val="0"/>
        </w:rPr>
        <w:t xml:space="preserve">.</w:t>
      </w:r>
    </w:p>
    <w:p w:rsidR="00000000" w:rsidDel="00000000" w:rsidP="00000000" w:rsidRDefault="00000000" w:rsidRPr="00000000" w14:paraId="00000023">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Complena maps products to regulatory and buyer data requirements, then flags gaps and missing data points before they become a compliance risk.</w:t>
      </w:r>
    </w:p>
    <w:p w:rsidR="00000000" w:rsidDel="00000000" w:rsidP="00000000" w:rsidRDefault="00000000" w:rsidRPr="00000000" w14:paraId="00000024">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The resulting data layer has dual value: internally, it shows where carbon footprint concentrates and where cost optimization is possible. Externally, it positions the SME as a data-ready preferred supplier, as buyers increasingly tie ESG data to contract eligibility [628].</w:t>
      </w:r>
    </w:p>
    <w:p w:rsidR="00000000" w:rsidDel="00000000" w:rsidP="00000000" w:rsidRDefault="00000000" w:rsidRPr="00000000" w14:paraId="00000025">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As pre-verification frameworks mature, data collected through validated software carries regulatory weight, replacing per-document verification with streamlined annual audits [629].</w:t>
      </w:r>
    </w:p>
    <w:p w:rsidR="00000000" w:rsidDel="00000000" w:rsidP="00000000" w:rsidRDefault="00000000" w:rsidRPr="00000000" w14:paraId="00000026">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jc w:val="both"/>
        <w:rPr>
          <w:rFonts w:ascii="Avenir" w:cs="Avenir" w:eastAsia="Avenir" w:hAnsi="Avenir"/>
          <w:b w:val="1"/>
          <w:bCs w:val="1"/>
          <w:color w:val="1155cc"/>
          <w:sz w:val="15"/>
          <w:szCs w:val="15"/>
          <w:u w:val="single"/>
        </w:rPr>
      </w:pPr>
      <w:r w:rsidDel="00000000" w:rsidR="00000000" w:rsidRPr="00000000">
        <w:rPr>
          <w:rtl w:val="0"/>
        </w:rPr>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rtl w:val="0"/>
        </w:rPr>
        <w:t xml:space="preserve">Complena structures, maintains and keeps your product data complete, so every compliance or data request is answered rapidly.</w:t>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i w:val="1"/>
          <w:iCs w:val="1"/>
          <w:color w:val="3c3f42"/>
          <w:sz w:val="15"/>
          <w:szCs w:val="15"/>
        </w:rPr>
      </w:pPr>
      <w:r w:rsidDel="00000000" w:rsidR="00000000" w:rsidRPr="00000000">
        <w:rPr>
          <w:rtl w:val="0"/>
        </w:rPr>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Market Drivers</w:t>
      </w:r>
      <w:r w:rsidDel="00000000" w:rsidR="00000000" w:rsidRPr="00000000">
        <w:rPr>
          <w:rtl w:val="0"/>
        </w:rPr>
      </w:r>
    </w:p>
    <w:p w:rsidR="00000000" w:rsidDel="00000000" w:rsidP="00000000" w:rsidRDefault="00000000" w:rsidRPr="00000000" w14:paraId="0000002D">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Over 33 million SMEs operate in the EU [401], more than 2 million of which manufacture physical products subject to growing data requirements [630], yet most lack the staff and tools to manage compliance independently [625].</w:t>
      </w:r>
    </w:p>
    <w:p w:rsidR="00000000" w:rsidDel="00000000" w:rsidP="00000000" w:rsidRDefault="00000000" w:rsidRPr="00000000" w14:paraId="0000002E">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regulatory environment is not just expanding but unstable. The Omnibus package cut CSRD scope by roughly 90% while ESPR obligations advance, with DPP deadlines from 2027 for batteries through 2030 for further categories [624][516]. This volatility makes one-off compliance projects structurally wasteful.</w:t>
      </w:r>
    </w:p>
    <w:p w:rsidR="00000000" w:rsidDel="00000000" w:rsidP="00000000" w:rsidRDefault="00000000" w:rsidRPr="00000000" w14:paraId="0000002F">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Large buyers already require structured product data from suppliers for reporting and risk management, with ESG responses increasingly tied to contract eligibility and preferred supplier status [631][628].</w:t>
      </w:r>
    </w:p>
    <w:p w:rsidR="00000000" w:rsidDel="00000000" w:rsidP="00000000" w:rsidRDefault="00000000" w:rsidRPr="00000000" w14:paraId="00000030">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AI for document parsing, data extraction, and regulatory mapping has matured into a viable compliance tool for SMEs. The global regtech market is projected to grow from </w:t>
      </w:r>
      <w:r w:rsidDel="00000000" w:rsidR="00000000" w:rsidRPr="00000000">
        <w:rPr>
          <w:rFonts w:ascii="Avenir" w:cs="Avenir" w:eastAsia="Avenir" w:hAnsi="Avenir"/>
          <w:color w:val="3c3f42"/>
          <w:sz w:val="15"/>
          <w:szCs w:val="15"/>
          <w:rtl w:val="0"/>
        </w:rPr>
        <w:t xml:space="preserve">24B USD </w:t>
      </w:r>
      <w:r w:rsidDel="00000000" w:rsidR="00000000" w:rsidRPr="00000000">
        <w:rPr>
          <w:rFonts w:ascii="Avenir" w:cs="Avenir" w:eastAsia="Avenir" w:hAnsi="Avenir"/>
          <w:color w:val="3c3f42"/>
          <w:sz w:val="15"/>
          <w:szCs w:val="15"/>
          <w:rtl w:val="0"/>
        </w:rPr>
        <w:t xml:space="preserve">in 2025 to over </w:t>
      </w:r>
      <w:r w:rsidDel="00000000" w:rsidR="00000000" w:rsidRPr="00000000">
        <w:rPr>
          <w:rFonts w:ascii="Avenir" w:cs="Avenir" w:eastAsia="Avenir" w:hAnsi="Avenir"/>
          <w:color w:val="3c3f42"/>
          <w:sz w:val="15"/>
          <w:szCs w:val="15"/>
          <w:rtl w:val="0"/>
        </w:rPr>
        <w:t xml:space="preserve">112B USD</w:t>
      </w:r>
      <w:r w:rsidDel="00000000" w:rsidR="00000000" w:rsidRPr="00000000">
        <w:rPr>
          <w:rFonts w:ascii="Avenir" w:cs="Avenir" w:eastAsia="Avenir" w:hAnsi="Avenir"/>
          <w:color w:val="3c3f42"/>
          <w:sz w:val="15"/>
          <w:szCs w:val="15"/>
          <w:rtl w:val="0"/>
        </w:rPr>
        <w:t xml:space="preserve"> by 2033, with the SME segment expanding fastest [632].</w:t>
      </w:r>
    </w:p>
    <w:p w:rsidR="00000000" w:rsidDel="00000000" w:rsidP="00000000" w:rsidRDefault="00000000" w:rsidRPr="00000000" w14:paraId="0000003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rtl w:val="0"/>
        </w:rPr>
        <w:t xml:space="preserve">Regulatory volatility, buyer demands, and AI maturity are converging to make automated product data management viable and necessary.</w:t>
      </w:r>
      <w:r w:rsidDel="00000000" w:rsidR="00000000" w:rsidRPr="00000000">
        <w:rPr>
          <w:rtl w:val="0"/>
        </w:rPr>
      </w:r>
    </w:p>
    <w:p w:rsidR="00000000" w:rsidDel="00000000" w:rsidP="00000000" w:rsidRDefault="00000000" w:rsidRPr="00000000" w14:paraId="0000003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3">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3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highlight w:val="yellow"/>
        </w:rPr>
      </w:pPr>
      <w:r w:rsidDel="00000000" w:rsidR="00000000" w:rsidRPr="00000000">
        <w:rPr>
          <w:rFonts w:ascii="Avenir" w:cs="Avenir" w:eastAsia="Avenir" w:hAnsi="Avenir"/>
          <w:b w:val="1"/>
          <w:bCs w:val="1"/>
          <w:color w:val="5b9bd5"/>
          <w:sz w:val="24"/>
          <w:szCs w:val="24"/>
          <w:rtl w:val="0"/>
        </w:rPr>
        <w:t xml:space="preserve">Competitors</w:t>
      </w:r>
      <w:r w:rsidDel="00000000" w:rsidR="00000000" w:rsidRPr="00000000">
        <w:rPr>
          <w:rtl w:val="0"/>
        </w:rPr>
      </w:r>
    </w:p>
    <w:p w:rsidR="00000000" w:rsidDel="00000000" w:rsidP="00000000" w:rsidRDefault="00000000" w:rsidRPr="00000000" w14:paraId="00000036">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Existing solutions fall into two camps: those that help companies report their own data, and those that collect it from suppliers through active submission. Neither approach automates the retrieval of environmental data from public sources.</w:t>
      </w:r>
    </w:p>
    <w:p w:rsidR="00000000" w:rsidDel="00000000" w:rsidP="00000000" w:rsidRDefault="00000000" w:rsidRPr="00000000" w14:paraId="00000037">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Emidat [633] and Tanso [634] focus on helping manufacturers calculate and report their own carbon footprints and EPDs, using internal data, emission factor databases, and manual supplier engagement. They require the company to already have or actively collect its input data.</w:t>
      </w:r>
    </w:p>
    <w:p w:rsidR="00000000" w:rsidDel="00000000" w:rsidP="00000000" w:rsidRDefault="00000000" w:rsidRPr="00000000" w14:paraId="00000038">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Spherity [635] and Circularise [636] provide digital product passport and traceability infrastructure, but depend on each supply chain participant actively submitting data through the platform. Where suppliers do not participate, the data gap remains.</w:t>
      </w:r>
    </w:p>
    <w:p w:rsidR="00000000" w:rsidDel="00000000" w:rsidP="00000000" w:rsidRDefault="00000000" w:rsidRPr="00000000" w14:paraId="00000039">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Celonis [637] optimizes internal processes using data from enterprise systems such as ERP, and is not designed to source external environmental product data or address regulatory compliance gaps across the supply chain.</w:t>
      </w:r>
    </w:p>
    <w:p w:rsidR="00000000" w:rsidDel="00000000" w:rsidP="00000000" w:rsidRDefault="00000000" w:rsidRPr="00000000" w14:paraId="0000003A">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Complena starts where these tools stop: at the point where supplier data exists publicly but has not been collected. By automatically retrieving, structuring, and propagating this data, Complena closes the gap before manual input or supplier onboarding is required.</w:t>
      </w:r>
      <w:r w:rsidDel="00000000" w:rsidR="00000000" w:rsidRPr="00000000">
        <w:rPr>
          <w:rtl w:val="0"/>
        </w:rPr>
      </w:r>
    </w:p>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rtl w:val="0"/>
        </w:rPr>
        <w:t xml:space="preserve">While other companies wait for supplier input, we retrieve existing data and turn it into continuous compliance at the product level.</w:t>
      </w:r>
    </w:p>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D">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jc w:val="both"/>
        <w:rPr>
          <w:rFonts w:ascii="Avenir" w:cs="Avenir" w:eastAsia="Avenir" w:hAnsi="Avenir"/>
          <w:color w:val="3c3f42"/>
          <w:sz w:val="15"/>
          <w:szCs w:val="15"/>
          <w:u w:val="single"/>
        </w:rPr>
      </w:pPr>
      <w:r w:rsidDel="00000000" w:rsidR="00000000" w:rsidRPr="00000000">
        <w:rPr>
          <w:rtl w:val="0"/>
        </w:rPr>
      </w:r>
    </w:p>
    <w:p w:rsidR="00000000" w:rsidDel="00000000" w:rsidP="00000000" w:rsidRDefault="00000000" w:rsidRPr="00000000" w14:paraId="0000003E">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3F">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i w:val="1"/>
          <w:iCs w:val="1"/>
          <w:color w:val="3c3f42"/>
          <w:sz w:val="15"/>
          <w:szCs w:val="15"/>
        </w:rPr>
      </w:pPr>
      <w:r w:rsidDel="00000000" w:rsidR="00000000" w:rsidRPr="00000000">
        <w:rPr>
          <w:rtl w:val="0"/>
        </w:rPr>
      </w:r>
    </w:p>
    <w:p w:rsidR="00000000" w:rsidDel="00000000" w:rsidP="00000000" w:rsidRDefault="00000000" w:rsidRPr="00000000" w14:paraId="00000040">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rPr>
      </w:pPr>
      <w:r w:rsidDel="00000000" w:rsidR="00000000" w:rsidRPr="00000000">
        <w:br w:type="page"/>
      </w:r>
      <w:r w:rsidDel="00000000" w:rsidR="00000000" w:rsidRPr="00000000">
        <w:rPr>
          <w:rtl w:val="0"/>
        </w:rPr>
      </w:r>
    </w:p>
    <w:p w:rsidR="00000000" w:rsidDel="00000000" w:rsidP="00000000" w:rsidRDefault="00000000" w:rsidRPr="00000000" w14:paraId="0000004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The Assumption Tree</w:t>
      </w:r>
    </w:p>
    <w:p w:rsidR="00000000" w:rsidDel="00000000" w:rsidP="00000000" w:rsidRDefault="00000000" w:rsidRPr="00000000" w14:paraId="0000004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4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Regulatory and geopolitical uncertainty:</w:t>
      </w:r>
    </w:p>
    <w:p w:rsidR="00000000" w:rsidDel="00000000" w:rsidP="00000000" w:rsidRDefault="00000000" w:rsidRPr="00000000" w14:paraId="0000004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3c3f42"/>
          <w:sz w:val="14"/>
          <w:szCs w:val="14"/>
          <w:rtl w:val="0"/>
        </w:rPr>
        <w:t>The compliance challenge was reshaped, rather than removed, by the Omnibus simplification of CSRD [638]. SMEs face a moving target, with ESPR, DPP, and ISO requirements still advancing, but timelines, thresholds, and scope constantly shifting [639]. The problem is not too many rules, but not knowing when and how regulations will apply. This uncertainty makes one-off compliance projects and consultant engagements wasteful, because whatever is built today may not be compliant tomorrow.</w:t>
      </w:r>
      <w:r w:rsidDel="00000000" w:rsidR="00000000" w:rsidRPr="00000000">
        <w:rPr>
          <w:rtl w:val="0"/>
        </w:rPr>
      </w:r>
    </w:p>
    <w:p w:rsidR="00000000" w:rsidDel="00000000" w:rsidP="00000000" w:rsidRDefault="00000000" w:rsidRPr="00000000" w14:paraId="0000004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4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Pre-verification pathways are emerging:</w:t>
      </w:r>
    </w:p>
    <w:p w:rsidR="00000000" w:rsidDel="00000000" w:rsidP="00000000" w:rsidRDefault="00000000" w:rsidRPr="00000000" w14:paraId="0000004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4"/>
          <w:szCs w:val="14"/>
        </w:rPr>
      </w:pPr>
      <w:r w:rsidDel="00000000" w:rsidR="00000000" w:rsidRPr="00000000">
        <w:rPr>
          <w:rFonts w:ascii="Avenir" w:cs="Avenir" w:eastAsia="Avenir" w:hAnsi="Avenir"/>
          <w:b w:val="1"/>
          <w:bCs w:val="1"/>
          <w:color w:val="3c3f42"/>
          <w:sz w:val="14"/>
          <w:szCs w:val="14"/>
          <w:rtl w:val="0"/>
        </w:rPr>
        <w:t>Regulatory frameworks are increasingly moving toward pre-certification of software tools used for compliance reporting and data structuring [640]. If a platform like Complena achieves pre-verified status, the data it collects and structures carries official weight. The customer's audit burden is removed, and the software turns from a data tool into a trusted compliance instrument.</w:t>
      </w:r>
    </w:p>
    <w:p w:rsidR="00000000" w:rsidDel="00000000" w:rsidP="00000000" w:rsidRDefault="00000000" w:rsidRPr="00000000" w14:paraId="0000004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4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Large suppliers already publish environmental data:</w:t>
      </w:r>
    </w:p>
    <w:p w:rsidR="00000000" w:rsidDel="00000000" w:rsidP="00000000" w:rsidRDefault="00000000" w:rsidRPr="00000000" w14:paraId="0000004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4"/>
          <w:szCs w:val="14"/>
        </w:rPr>
      </w:pPr>
      <w:r w:rsidDel="00000000" w:rsidR="00000000" w:rsidRPr="00000000">
        <w:rPr>
          <w:rFonts w:ascii="Avenir" w:cs="Avenir" w:eastAsia="Avenir" w:hAnsi="Avenir"/>
          <w:b w:val="1"/>
          <w:bCs w:val="1"/>
          <w:color w:val="3c3f42"/>
          <w:sz w:val="14"/>
          <w:szCs w:val="14"/>
          <w:rtl w:val="0"/>
        </w:rPr>
        <w:t>Large manufacturers already disclose product-level environmental information, such as CO₂ footprints, material composition, EPDs, driven by their own regulatory obligations and market positioning [626]. This data is public, but scattered across PDFs, datasheets, product pages, and press releases. It is practically inaccessible to downstream SMEs without significant manual effort.</w:t>
      </w:r>
    </w:p>
    <w:p w:rsidR="00000000" w:rsidDel="00000000" w:rsidP="00000000" w:rsidRDefault="00000000" w:rsidRPr="00000000" w14:paraId="0000004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4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AI can extract and structure unstructured supplier data:</w:t>
      </w:r>
    </w:p>
    <w:p w:rsidR="00000000" w:rsidDel="00000000" w:rsidP="00000000" w:rsidRDefault="00000000" w:rsidRPr="00000000" w14:paraId="0000004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14"/>
          <w:szCs w:val="14"/>
          <w:rtl w:val="0"/>
        </w:rPr>
        <w:t>Modern AI can read and map product-level environmental data from unstructured public sources into structured, compliance-ready fields [641]. This makes disclosed but scattered supplier information useful for SMEs without dedicated research staff or domain specialists.</w:t>
      </w:r>
      <w:r w:rsidDel="00000000" w:rsidR="00000000" w:rsidRPr="00000000">
        <w:rPr>
          <w:rtl w:val="0"/>
        </w:rPr>
      </w:r>
    </w:p>
    <w:p w:rsidR="00000000" w:rsidDel="00000000" w:rsidP="00000000" w:rsidRDefault="00000000" w:rsidRPr="00000000" w14:paraId="0000004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tl w:val="0"/>
        </w:rPr>
      </w:r>
    </w:p>
    <w:p w:rsidR="00000000" w:rsidDel="00000000" w:rsidP="00000000" w:rsidRDefault="00000000" w:rsidRPr="00000000" w14:paraId="0000004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Automated compliance is the only robust response to regulatory uncertainty:</w:t>
      </w:r>
    </w:p>
    <w:p w:rsidR="00000000" w:rsidDel="00000000" w:rsidP="00000000" w:rsidRDefault="00000000" w:rsidRPr="00000000" w14:paraId="0000005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3c3f42"/>
          <w:sz w:val="14"/>
          <w:szCs w:val="14"/>
          <w:rtl w:val="0"/>
        </w:rPr>
        <w:t xml:space="preserve">When regulations shift, manual compliance work has to be redone. Pre-verified software that continuously structures and updates data can adapt to changing requirements without having to start from scratch. This makes it the only approach that doesn't scale proportionally with regulatory complexity.</w:t>
      </w:r>
      <w:r w:rsidDel="00000000" w:rsidR="00000000" w:rsidRPr="00000000">
        <w:rPr>
          <w:rtl w:val="0"/>
        </w:rPr>
      </w:r>
    </w:p>
    <w:p w:rsidR="00000000" w:rsidDel="00000000" w:rsidP="00000000" w:rsidRDefault="00000000" w:rsidRPr="00000000" w14:paraId="0000005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tl w:val="0"/>
        </w:rPr>
      </w:r>
    </w:p>
    <w:p w:rsidR="00000000" w:rsidDel="00000000" w:rsidP="00000000" w:rsidRDefault="00000000" w:rsidRPr="00000000" w14:paraId="0000005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Companies benefit from oversight beyond compliance:</w:t>
      </w:r>
    </w:p>
    <w:p w:rsidR="00000000" w:rsidDel="00000000" w:rsidP="00000000" w:rsidRDefault="00000000" w:rsidRPr="00000000" w14:paraId="0000005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3c3f42"/>
          <w:sz w:val="14"/>
          <w:szCs w:val="14"/>
          <w:rtl w:val="0"/>
        </w:rPr>
        <w:t>Once supplier data is structured and mapped to products, the resulting data layer gives SMEs new levels of visibility. Benefits are independent of any regulation: identifying where carbon footprint concentrates across the supply chain, spotting cost-optimization opportunities by comparing materials and suppliers [642], and improving resilience to natural disasters [643]. Where transparency is valued by customers, this could support stronger pricing [644].</w:t>
      </w:r>
      <w:r w:rsidDel="00000000" w:rsidR="00000000" w:rsidRPr="00000000">
        <w:rPr>
          <w:rtl w:val="0"/>
        </w:rPr>
      </w:r>
    </w:p>
    <w:p w:rsidR="00000000" w:rsidDel="00000000" w:rsidP="00000000" w:rsidRDefault="00000000" w:rsidRPr="00000000" w14:paraId="0000005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5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Regulatory and geopolitical uncertainty:</w:t>
      </w:r>
    </w:p>
    <w:p w:rsidR="00000000" w:rsidDel="00000000" w:rsidP="00000000" w:rsidRDefault="00000000" w:rsidRPr="00000000" w14:paraId="0000005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4"/>
          <w:szCs w:val="14"/>
        </w:rPr>
      </w:pPr>
      <w:r w:rsidDel="00000000" w:rsidR="00000000" w:rsidRPr="00000000">
        <w:rPr>
          <w:rFonts w:ascii="Avenir" w:cs="Avenir" w:eastAsia="Avenir" w:hAnsi="Avenir"/>
          <w:b w:val="1"/>
          <w:bCs w:val="1"/>
          <w:color w:val="3c3f42"/>
          <w:sz w:val="14"/>
          <w:szCs w:val="14"/>
          <w:rtl w:val="0"/>
        </w:rPr>
        <w:t xml:space="preserve">SMEs that invest in a pre-verified, automated compliance layer solve the reporting problem and gain a durable data infrastructure that reduces costs, supports pricing power, and absorbs future regulatory change without proportional effort. Compliance transforms from a recurring expense to a competitive advantage.</w:t>
      </w:r>
    </w:p>
    <w:p w:rsidR="00000000" w:rsidDel="00000000" w:rsidP="00000000" w:rsidRDefault="00000000" w:rsidRPr="00000000" w14:paraId="0000005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rPr>
      </w:pPr>
      <w:r w:rsidDel="00000000" w:rsidR="00000000" w:rsidRPr="00000000">
        <w:rPr>
          <w:rtl w:val="0"/>
        </w:rPr>
      </w:r>
    </w:p>
    <w:p w:rsidR="00000000" w:rsidDel="00000000" w:rsidP="00000000" w:rsidRDefault="00000000" w:rsidRPr="00000000" w14:paraId="0000005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br w:type="page"/>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s://www.spherity.com/digital-product-passport" TargetMode="External"/><Relationship Id="rId20" Type="http://schemas.openxmlformats.org/officeDocument/2006/relationships/hyperlink" Target="https://www.thebci.org/resource/bci-supply-chain-resilience-report-2024.html" TargetMode="External"/><Relationship Id="rId42" Type="http://schemas.openxmlformats.org/officeDocument/2006/relationships/hyperlink" Target="https://www.celonis.com/" TargetMode="External"/><Relationship Id="rId41" Type="http://schemas.openxmlformats.org/officeDocument/2006/relationships/hyperlink" Target="https://www.circularise.com/" TargetMode="External"/><Relationship Id="rId22" Type="http://schemas.openxmlformats.org/officeDocument/2006/relationships/hyperlink" Target="https://eur-lex.europa.eu/legal-content/EN/TXT/?uri=CELEX%3A32024R1781" TargetMode="External"/><Relationship Id="rId21" Type="http://schemas.openxmlformats.org/officeDocument/2006/relationships/hyperlink" Target="https://www.mckinsey.com/capabilities/growth-marketing-and-sales/our-insights/how-playing-offense-on-sustainability-can-power-e-commerce-performance" TargetMode="External"/><Relationship Id="rId24" Type="http://schemas.openxmlformats.org/officeDocument/2006/relationships/hyperlink" Target="https://finance.ec.europa.eu/news/omnibus-package-2025-04-01_en" TargetMode="External"/><Relationship Id="rId23" Type="http://schemas.openxmlformats.org/officeDocument/2006/relationships/hyperlink" Target="https://kpmg.com/xx/en/our-insights/esg/european-digital-product-passport-readiness-survey.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finance.ec.europa.eu/news/omnibus-package-2025-04-01_en" TargetMode="External"/><Relationship Id="rId26" Type="http://schemas.openxmlformats.org/officeDocument/2006/relationships/hyperlink" Target="https://press.siemens.com/global/en/pressrelease/siemens-sets-new-pace-fast-and-transparent-environmental-product-declarations" TargetMode="External"/><Relationship Id="rId25" Type="http://schemas.openxmlformats.org/officeDocument/2006/relationships/hyperlink" Target="https://finance.ec.europa.eu/news/omnibus-package-2025-04-01_en" TargetMode="External"/><Relationship Id="rId28" Type="http://schemas.openxmlformats.org/officeDocument/2006/relationships/hyperlink" Target="https://www.gsb.stanford.edu/faculty-research/publications/sustainable-procurement-barometer-2021" TargetMode="External"/><Relationship Id="rId27" Type="http://schemas.openxmlformats.org/officeDocument/2006/relationships/hyperlink" Target="https://www.gsb.stanford.edu/faculty-research/publications/sustainable-procurement-barometer-2021" TargetMode="External"/><Relationship Id="rId5" Type="http://schemas.openxmlformats.org/officeDocument/2006/relationships/styles" Target="styles.xml"/><Relationship Id="rId6" Type="http://schemas.openxmlformats.org/officeDocument/2006/relationships/hyperlink" Target="https://eur-lex.europa.eu/legal-content/EN/TXT/?uri=CELEX%3A32024R1781" TargetMode="External"/><Relationship Id="rId29" Type="http://schemas.openxmlformats.org/officeDocument/2006/relationships/hyperlink" Target="https://www.environdec.com/services/pre-verified-tools" TargetMode="External"/><Relationship Id="rId7" Type="http://schemas.openxmlformats.org/officeDocument/2006/relationships/hyperlink" Target="https://eur-lex.europa.eu/legal-content/EN/TXT/?uri=CELEX%3A32024R1781" TargetMode="External"/><Relationship Id="rId8" Type="http://schemas.openxmlformats.org/officeDocument/2006/relationships/hyperlink" Target="https://finance.ec.europa.eu/news/omnibus-package-2025-04-01_en" TargetMode="External"/><Relationship Id="rId31" Type="http://schemas.openxmlformats.org/officeDocument/2006/relationships/hyperlink" Target="https://ec.europa.eu/eurostat/statistics-explained/index.php?title=Structural_business_statistics_overview" TargetMode="External"/><Relationship Id="rId30" Type="http://schemas.openxmlformats.org/officeDocument/2006/relationships/hyperlink" Target="https://www.environdec.com/services/pre-verified-tools" TargetMode="External"/><Relationship Id="rId11" Type="http://schemas.openxmlformats.org/officeDocument/2006/relationships/hyperlink" Target="https://kpmg.com/xx/en/our-insights/esg/european-digital-product-passport-readiness-survey.html" TargetMode="External"/><Relationship Id="rId33" Type="http://schemas.openxmlformats.org/officeDocument/2006/relationships/hyperlink" Target="https://finance.ec.europa.eu/news/omnibus-package-2025-04-01_en" TargetMode="External"/><Relationship Id="rId10" Type="http://schemas.openxmlformats.org/officeDocument/2006/relationships/hyperlink" Target="https://kpmg.com/xx/en/our-insights/esg/european-digital-product-passport-readiness-survey.html" TargetMode="External"/><Relationship Id="rId32" Type="http://schemas.openxmlformats.org/officeDocument/2006/relationships/hyperlink" Target="https://kpmg.com/xx/en/our-insights/esg/european-digital-product-passport-readiness-survey.html" TargetMode="External"/><Relationship Id="rId13" Type="http://schemas.openxmlformats.org/officeDocument/2006/relationships/hyperlink" Target="https://press.siemens.com/global/en/pressrelease/siemens-sets-new-pace-fast-and-transparent-environmental-product-declarations" TargetMode="External"/><Relationship Id="rId35" Type="http://schemas.openxmlformats.org/officeDocument/2006/relationships/hyperlink" Target="https://www.efrag.org/sites/default/files/sites/webpublishing/SiteAssets/VSME%20Standard.pdf" TargetMode="External"/><Relationship Id="rId12" Type="http://schemas.openxmlformats.org/officeDocument/2006/relationships/hyperlink" Target="https://press.siemens.com/global/en/pressrelease/siemens-sets-new-pace-fast-and-transparent-environmental-product-declarations" TargetMode="External"/><Relationship Id="rId34" Type="http://schemas.openxmlformats.org/officeDocument/2006/relationships/hyperlink" Target="https://eur-lex.europa.eu/legal-content/EN/TXT/?uri=CELEX:52025DC0187" TargetMode="External"/><Relationship Id="rId15" Type="http://schemas.openxmlformats.org/officeDocument/2006/relationships/hyperlink" Target="https://www.whitecase.com/insight-alert/simplified-not-abandoned-eu-corporate-sustainability-after-omnibus-i-package" TargetMode="External"/><Relationship Id="rId37" Type="http://schemas.openxmlformats.org/officeDocument/2006/relationships/hyperlink" Target="https://www.grandviewresearch.com/industry-analysis/regulatory-technology-market" TargetMode="External"/><Relationship Id="rId14" Type="http://schemas.openxmlformats.org/officeDocument/2006/relationships/hyperlink" Target="https://www.consilium.europa.eu/en/press/press-releases/2025/12/09/council-and-parliament-strike-a-deal-to-simplify-sustainability-reporting-and-due-diligence-requirements-and-boost-eu-competitiveness/" TargetMode="External"/><Relationship Id="rId36" Type="http://schemas.openxmlformats.org/officeDocument/2006/relationships/hyperlink" Target="https://www.gsb.stanford.edu/faculty-research/publications/sustainable-procurement-barometer-2021" TargetMode="External"/><Relationship Id="rId17" Type="http://schemas.openxmlformats.org/officeDocument/2006/relationships/hyperlink" Target="https://press.siemens.com/global/en/pressrelease/siemens-sets-new-pace-fast-and-transparent-environmental-product-declarations" TargetMode="External"/><Relationship Id="rId39" Type="http://schemas.openxmlformats.org/officeDocument/2006/relationships/hyperlink" Target="https://www.tanso.de/en/product/co2-management" TargetMode="External"/><Relationship Id="rId16" Type="http://schemas.openxmlformats.org/officeDocument/2006/relationships/hyperlink" Target="https://www.hoganlovells.com/en/publications/digital-product-passports-in-the-eu-comprehensive-expansion" TargetMode="External"/><Relationship Id="rId38" Type="http://schemas.openxmlformats.org/officeDocument/2006/relationships/hyperlink" Target="https://www.emidat.com/" TargetMode="External"/><Relationship Id="rId19" Type="http://schemas.openxmlformats.org/officeDocument/2006/relationships/hyperlink" Target="https://www.mckinsey.com/capabilities/operations/our-insights/add-innovation-and-performance-by-subtracting-carbon-and-cost" TargetMode="External"/><Relationship Id="rId18" Type="http://schemas.openxmlformats.org/officeDocument/2006/relationships/hyperlink" Target="https://www.carbonbright.co/insight/leveraging-ai-for-environmental-product-declarations-ep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