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5b9bd5"/>
          <w:sz w:val="24"/>
          <w:szCs w:val="24"/>
        </w:rPr>
      </w:pPr>
      <w:bookmarkStart w:colFirst="0" w:colLast="0" w:name="_h3u9keyuvlgb" w:id="0"/>
      <w:bookmarkEnd w:id="0"/>
      <w:r w:rsidDel="00000000" w:rsidR="00000000" w:rsidRPr="00000000">
        <w:rPr>
          <w:rFonts w:ascii="Avenir" w:cs="Avenir" w:eastAsia="Avenir" w:hAnsi="Avenir"/>
          <w:b w:val="1"/>
          <w:bCs w:val="1"/>
          <w:color w:val="5b9bd5"/>
          <w:sz w:val="24"/>
          <w:szCs w:val="24"/>
          <w:rtl w:val="0"/>
        </w:rPr>
        <w:t xml:space="preserve">LEVERAGING DATA AS </w:t>
      </w:r>
      <w:r w:rsidDel="00000000" w:rsidR="00000000" w:rsidRPr="00000000">
        <w:rPr>
          <w:rFonts w:ascii="Avenir" w:cs="Avenir" w:eastAsia="Avenir" w:hAnsi="Avenir"/>
          <w:b w:val="1"/>
          <w:bCs w:val="1"/>
          <w:color w:val="5b9bd5"/>
          <w:sz w:val="24"/>
          <w:szCs w:val="24"/>
          <w:rtl w:val="0"/>
        </w:rPr>
        <w:t xml:space="preserve">STRATEGIC ASSETS</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sz w:val="18"/>
          <w:szCs w:val="18"/>
        </w:rPr>
      </w:pPr>
      <w:r w:rsidDel="00000000" w:rsidR="00000000" w:rsidRPr="00000000">
        <w:rPr>
          <w:rFonts w:ascii="Avenir" w:cs="Avenir" w:eastAsia="Avenir" w:hAnsi="Avenir"/>
          <w:sz w:val="18"/>
          <w:szCs w:val="18"/>
          <w:rtl w:val="0"/>
        </w:rPr>
        <w:t xml:space="preserve">Shifting Toward Digitally Measurable Capital</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volume of data generated in industrial environments is growing exponentially, driven by IoT sensors, connected machines, and digital twin technologies, with manufacturing accounting for the largest share of deployments [278]. This data explosion transforms operational data from a byproduct of production into strategic assets, reshaping how industrial companies compete, are valued, and generate value [279]. The industrial data management market is projected to grow significantly by 2030, reflecting capital-allocation decisions already underway [231]. Data is undergoing an economic reclassification. High-quality data is now recognized as an intangible asset with measurable fundamental value [228, 229]. The Oxford Review of Finance notes that data raises asset pricing questions precisely because it is an asset that needs to be priced [228]. As capital markets develop valuation metrics derived from real-time factory performance, firms that credibly demonstrate data-driven operational excellence may command higher valuations and better financing terms. At the regulatory level, this logic is accelerated by the EU Data Act [280], pushing industrial data toward functioning as a signaling asset.</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 2019, the International Data Corporation (IDC) projected that 41.6B connected IoT devices would generate approximately 79.4 ZB of data annually by 2025, with manufacturing among the largest sectors driving this growth [279].</w:t>
      </w:r>
      <w:r w:rsidDel="00000000" w:rsidR="00000000" w:rsidRPr="00000000">
        <w:rPr>
          <w:rtl w:val="0"/>
        </w:rPr>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industrial data management market was valued at 105.1B USD in 2025 and is projected to reach 213.2B USD by 2030 [231].</w:t>
      </w:r>
      <w:r w:rsidDel="00000000" w:rsidR="00000000" w:rsidRPr="00000000">
        <w:rPr>
          <w:rtl w:val="0"/>
        </w:rPr>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EU Data Act grants users of connected products, including industrial machinery, the right to access and share data generated through product use [280].</w:t>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Only 6% of companies qualify as AI high performers according to McKinsey, underscoring the gap between data-rich leaders and firms struggling to convert operational data into competitive advantage [281].</w:t>
      </w:r>
    </w:p>
    <w:p w:rsidR="00000000" w:rsidDel="00000000" w:rsidP="00000000" w:rsidRDefault="00000000" w:rsidRPr="00000000" w14:paraId="0000000A">
      <w:pPr>
        <w:keepLines w:val="1"/>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B">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growing relevance of non-financial indicators for intangibles-rich firms is pushing companies toward treating proprietary operational datasets as strategic assets [281, 282].</w:t>
      </w:r>
      <w:r w:rsidDel="00000000" w:rsidR="00000000" w:rsidRPr="00000000">
        <w:rPr>
          <w:rtl w:val="0"/>
        </w:rPr>
      </w:r>
    </w:p>
    <w:p w:rsidR="00000000" w:rsidDel="00000000" w:rsidP="00000000" w:rsidRDefault="00000000" w:rsidRPr="00000000" w14:paraId="0000000C">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 2024, the International Accounting Standards Board (IASB) launched a comprehensive review of IAS 38, specifically aimed at improving the recognition of tech-driven intangible assets such as data [283].</w:t>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EU Data Act weakens proprietary industrial data moats by giving users of connected products the legal right to access and share data generated through their use [280]. Competitive advantage may shift toward building the strongest analytics layer on more widely accessible data.</w:t>
      </w: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Unlike traditional assets, data is non-rivalrous, meaning it can be used by multiple parties simultaneously, complicating established models of exclusive ownership and fair market value [228].</w:t>
      </w:r>
      <w:r w:rsidDel="00000000" w:rsidR="00000000" w:rsidRPr="00000000">
        <w:rPr>
          <w:rtl w:val="0"/>
        </w:rPr>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Industrial data differs fundamentally from web data, with scarcer labels, more skewed distributions, and stricter privacy requirements. Its value depends on context, quality, and relevance rather than volume alone [278].</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Existing IP frameworks were not designed for data assets. Patents protect inventions and copyright protects creative expression, but raw industrial datasets qualify for neither, leaving firms without legal protection for their most valuable asset [284].</w:t>
      </w:r>
    </w:p>
    <w:p w:rsidR="00000000" w:rsidDel="00000000" w:rsidP="00000000" w:rsidRDefault="00000000" w:rsidRPr="00000000" w14:paraId="00000012">
      <w:pPr>
        <w:keepLines w:val="1"/>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 </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Sensor data is typically noisy, sparse, and expensive to label, meaning investment in data infrastructure directly determines model quality [285]. Companies that treat data as a strategic asset will see their AI systems improve faster and compound their advantage over time [286]. The EU Data Act and the EU AI Act create a new governance layer that will determine which companies are permitted to deploy AI at what scale in industrial contexts [280].</w:t>
      </w:r>
      <w:r w:rsidDel="00000000" w:rsidR="00000000" w:rsidRPr="00000000">
        <w:rPr>
          <w:rFonts w:ascii="Avenir" w:cs="Avenir" w:eastAsia="Avenir" w:hAnsi="Avenir"/>
          <w:color w:val="3c3f42"/>
          <w:sz w:val="15"/>
          <w:szCs w:val="15"/>
          <w:rtl w:val="0"/>
        </w:rPr>
        <w:t xml:space="preserve"> Companies that generate data through their hardware and monetize intelligence through software will effectively control both sides of the industrial AI value chain.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