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b w:val="1"/>
          <w:bCs w:val="1"/>
          <w:color w:val="5b9bd5"/>
          <w:sz w:val="24"/>
          <w:szCs w:val="24"/>
        </w:rPr>
      </w:pPr>
      <w:bookmarkStart w:colFirst="0" w:colLast="0" w:name="_molf7rbsh6gh" w:id="0"/>
      <w:bookmarkEnd w:id="0"/>
      <w:r w:rsidDel="00000000" w:rsidR="00000000" w:rsidRPr="00000000">
        <w:rPr>
          <w:rFonts w:ascii="Avenir" w:cs="Avenir" w:eastAsia="Avenir" w:hAnsi="Avenir"/>
          <w:b w:val="1"/>
          <w:bCs w:val="1"/>
          <w:color w:val="5b9bd5"/>
          <w:sz w:val="24"/>
          <w:szCs w:val="24"/>
          <w:rtl w:val="0"/>
        </w:rPr>
        <w:t xml:space="preserve">Emerging Transfer Dynamics in AI Labour Markets</w:t>
      </w:r>
    </w:p>
    <w:p w:rsidR="00000000" w:rsidDel="00000000" w:rsidP="00000000" w:rsidRDefault="00000000" w:rsidRPr="00000000" w14:paraId="00000002">
      <w:pPr>
        <w:keepLines w:val="1"/>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8"/>
          <w:szCs w:val="18"/>
        </w:rPr>
      </w:pPr>
      <w:r w:rsidDel="00000000" w:rsidR="00000000" w:rsidRPr="00000000">
        <w:rPr>
          <w:rFonts w:ascii="Avenir" w:cs="Avenir" w:eastAsia="Avenir" w:hAnsi="Avenir"/>
          <w:sz w:val="18"/>
          <w:szCs w:val="18"/>
          <w:rtl w:val="0"/>
        </w:rPr>
        <w:t xml:space="preserve">How Scarce AI Talent is Turning Workforce Training into a High-Stakes Capital Investment</w:t>
      </w: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Workers with AI skills command a 56% wage premium over comparable roles, a figure that doubled in a single year [241]. Developing these specialists takes years of firm investment, but retaining them is increasingly difficult: Meta has offered individual researchers packages worth up to 300M USD, while OpenAI spent 1.5M USD per employee in stock compensation largely to prevent departures [287, 288]. When a trained specialist leaves, the firm that developed them receives nothing. In professional football, transfer fees address this: the hiring club pays a fee to the developing club, creating a financial incentive to invest in talent even when players move [289]. No equivalent exists in AI labor markets, and </w:t>
      </w:r>
      <w:r w:rsidDel="00000000" w:rsidR="00000000" w:rsidRPr="00000000">
        <w:rPr>
          <w:rFonts w:ascii="Avenir" w:cs="Avenir" w:eastAsia="Avenir" w:hAnsi="Avenir"/>
          <w:color w:val="3c3f42"/>
          <w:sz w:val="15"/>
          <w:szCs w:val="15"/>
          <w:rtl w:val="0"/>
        </w:rPr>
        <w:t xml:space="preserve">non-compete clauses</w:t>
      </w:r>
      <w:r w:rsidDel="00000000" w:rsidR="00000000" w:rsidRPr="00000000">
        <w:rPr>
          <w:rFonts w:ascii="Avenir" w:cs="Avenir" w:eastAsia="Avenir" w:hAnsi="Avenir"/>
          <w:color w:val="3c3f42"/>
          <w:sz w:val="15"/>
          <w:szCs w:val="15"/>
          <w:rtl w:val="0"/>
        </w:rPr>
        <w:t>, the traditional alternative, are increasingly being restricted under regulatory pressure [290]. A transfer fee for AI talent could fill this gap, compensating training firms without restricting worker mobility. The legal profession shows what this costs in practice: replacing a trained associate runs 200k USD to 500k USD, yet firms that hire laterally pay nothing to the firm that trained them [291]. In AI, where each specialist is more costly to develop and harder to replace, this dynamic is more acute.</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before="200"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Facts</w:t>
      </w:r>
    </w:p>
    <w:p w:rsidR="00000000" w:rsidDel="00000000" w:rsidP="00000000" w:rsidRDefault="00000000" w:rsidRPr="00000000" w14:paraId="00000006">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Demand for AI talent is growing against the broader trend: job postings requiring AI skills rose 7.5% year-on-year even as total job postings fell 11.3%, based on analysis of nearly one billion job ads across six continents [241].</w:t>
      </w:r>
      <w:r w:rsidDel="00000000" w:rsidR="00000000" w:rsidRPr="00000000">
        <w:rPr>
          <w:rtl w:val="0"/>
        </w:rPr>
      </w:r>
    </w:p>
    <w:p w:rsidR="00000000" w:rsidDel="00000000" w:rsidP="00000000" w:rsidRDefault="00000000" w:rsidRPr="00000000" w14:paraId="00000007">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Meta has offered AI researchers packages worth up to 300M USD over four years. OpenAI's average stock compensation reached 1.5M USD per employee in 2025, 34 times the pre-IPO average of 18 other major tech companies over the past 25 years [287, 288].</w:t>
      </w:r>
    </w:p>
    <w:p w:rsidR="00000000" w:rsidDel="00000000" w:rsidP="00000000" w:rsidRDefault="00000000" w:rsidRPr="00000000" w14:paraId="00000008">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Across the OECD, large firms are over three times as likely to use AI as small firms (39% vs. 12%). Among SMEs using generative AI, fewer than 30% provide any AI-related training to employees [292].</w:t>
      </w:r>
    </w:p>
    <w:p w:rsidR="00000000" w:rsidDel="00000000" w:rsidP="00000000" w:rsidRDefault="00000000" w:rsidRPr="00000000" w14:paraId="00000009">
      <w:pPr>
        <w:keepLines w:val="1"/>
        <w:pBdr>
          <w:top w:color="000000" w:space="0" w:sz="0" w:val="none"/>
          <w:left w:color="000000" w:space="0" w:sz="0" w:val="none"/>
          <w:bottom w:color="000000" w:space="0" w:sz="0" w:val="none"/>
          <w:right w:color="000000" w:space="0" w:sz="0" w:val="none"/>
          <w:between w:color="000000" w:space="0" w:sz="0" w:val="none"/>
        </w:pBdr>
        <w:spacing w:before="200"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Key Drivers</w:t>
      </w:r>
      <w:r w:rsidDel="00000000" w:rsidR="00000000" w:rsidRPr="00000000">
        <w:rPr>
          <w:rtl w:val="0"/>
        </w:rPr>
      </w:r>
    </w:p>
    <w:p w:rsidR="00000000" w:rsidDel="00000000" w:rsidP="00000000" w:rsidRDefault="00000000" w:rsidRPr="00000000" w14:paraId="0000000A">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The compensation gap between AI specialists and other workers is widening, making it increasingly profitable to recruit trained talent rather than develop it in-house. With individual signing bonuses reportedly reaching nine figures at leading firms, poaching is often cheaper than years of internal training, even at extreme prices [287, 288].</w:t>
      </w:r>
      <w:r w:rsidDel="00000000" w:rsidR="00000000" w:rsidRPr="00000000">
        <w:rPr>
          <w:rtl w:val="0"/>
        </w:rPr>
      </w:r>
    </w:p>
    <w:p w:rsidR="00000000" w:rsidDel="00000000" w:rsidP="00000000" w:rsidRDefault="00000000" w:rsidRPr="00000000" w14:paraId="0000000B">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Regulatory changes are removing the few tools firms had to protect training investments. California and several other US states prohibit non-competes, and training repayment agreements face growing legal scrutiny, leaving firms with fewer ways to recoup development costs when workers leave [290].</w:t>
      </w:r>
    </w:p>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spacing w:before="200"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Challenges</w:t>
      </w:r>
    </w:p>
    <w:p w:rsidR="00000000" w:rsidDel="00000000" w:rsidP="00000000" w:rsidRDefault="00000000" w:rsidRPr="00000000" w14:paraId="0000000D">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AI is automating many junior tasks that traditionally served as training grounds for future specialists. Employment for workers aged 22-25 in AI-exposed occupations has declined 13% since late 2022 [293]. With fewer junior positions, developing senior AI talent takes longer and costs more.</w:t>
      </w:r>
      <w:r w:rsidDel="00000000" w:rsidR="00000000" w:rsidRPr="00000000">
        <w:rPr>
          <w:rtl w:val="0"/>
        </w:rPr>
      </w:r>
    </w:p>
    <w:p w:rsidR="00000000" w:rsidDel="00000000" w:rsidP="00000000" w:rsidRDefault="00000000" w:rsidRPr="00000000" w14:paraId="0000000E">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Small and mid-sized firms cannot match big tech retention packages, so any investment they make in developing AI talent is likely lost when those workers are recruited away. For SMEs, training AI specialists becomes an investment where the returns are captured by competitors rather than the firm that paid [292].</w:t>
      </w:r>
    </w:p>
    <w:p w:rsidR="00000000" w:rsidDel="00000000" w:rsidP="00000000" w:rsidRDefault="00000000" w:rsidRPr="00000000" w14:paraId="0000000F">
      <w:pPr>
        <w:pBdr>
          <w:top w:color="000000" w:space="0" w:sz="0" w:val="none"/>
          <w:left w:color="000000" w:space="0" w:sz="0" w:val="none"/>
          <w:bottom w:color="000000" w:space="0" w:sz="0" w:val="none"/>
          <w:right w:color="000000" w:space="0" w:sz="0" w:val="none"/>
          <w:between w:color="000000" w:space="0" w:sz="0" w:val="none"/>
        </w:pBdr>
        <w:spacing w:before="200" w:line="240" w:lineRule="auto"/>
        <w:jc w:val="both"/>
        <w:rPr>
          <w:rFonts w:ascii="Avenir" w:cs="Avenir" w:eastAsia="Avenir" w:hAnsi="Avenir"/>
          <w:color w:val="3c3f42"/>
          <w:sz w:val="15"/>
          <w:szCs w:val="15"/>
        </w:rPr>
      </w:pPr>
      <w:r w:rsidDel="00000000" w:rsidR="00000000" w:rsidRPr="00000000">
        <w:rPr>
          <w:rFonts w:ascii="Avenir" w:cs="Avenir" w:eastAsia="Avenir" w:hAnsi="Avenir"/>
          <w:b w:val="1"/>
          <w:bCs w:val="1"/>
          <w:color w:val="024ea2"/>
          <w:sz w:val="15"/>
          <w:szCs w:val="15"/>
          <w:rtl w:val="0"/>
        </w:rPr>
        <w:t xml:space="preserve">Impact on Industrial AI</w:t>
      </w:r>
      <w:r w:rsidDel="00000000" w:rsidR="00000000" w:rsidRPr="00000000">
        <w:rPr>
          <w:rtl w:val="0"/>
        </w:rPr>
      </w:r>
    </w:p>
    <w:p w:rsidR="00000000" w:rsidDel="00000000" w:rsidP="00000000" w:rsidRDefault="00000000" w:rsidRPr="00000000" w14:paraId="00000010">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When firms that train AI workers bear the full cost while firms that recruit them capture the full benefit, the rational response is to underinvest in training. This slows industrial AI adoption across the board. The effect falls unevenly: large firms can absorb talent losses and outbid smaller rivals, while SMEs, which make up the majority of firms in most industrial sectors, fall further behind in AI capability [292]. Over time, industrial AI expertise concentrates on fewer, larger players. The competitive advantage shifts from access to technology, which is increasingly commoditized, to the ability to develop and retain the people who can deploy it [92].</w:t>
      </w:r>
    </w:p>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digitaleconomy.stanford.edu/publications/canaries-in-the-coal-mine/" TargetMode="External"/><Relationship Id="rId11" Type="http://schemas.openxmlformats.org/officeDocument/2006/relationships/hyperlink" Target="https://fortune.com/2026/02/18/openai-chatgpt-creator-record-million-dollar-equity-compensation-ai-tech-talent-war-career-retention-sam-altman-millionaire-staff/" TargetMode="External"/><Relationship Id="rId22" Type="http://schemas.openxmlformats.org/officeDocument/2006/relationships/hyperlink" Target="https://reports.weforum.org/docs/WEF_Future_of_Jobs_Report_2025.pdf" TargetMode="External"/><Relationship Id="rId10" Type="http://schemas.openxmlformats.org/officeDocument/2006/relationships/hyperlink" Target="https://fortune.com/2026/02/18/openai-chatgpt-creator-record-million-dollar-equity-compensation-ai-tech-talent-war-career-retention-sam-altman-millionaire-staff/" TargetMode="External"/><Relationship Id="rId21" Type="http://schemas.openxmlformats.org/officeDocument/2006/relationships/hyperlink" Target="https://reports.weforum.org/docs/WEF_Future_of_Jobs_Report_2025.pdf" TargetMode="External"/><Relationship Id="rId13" Type="http://schemas.openxmlformats.org/officeDocument/2006/relationships/hyperlink" Target="https://papers.tinbergen.nl/20034.pdf" TargetMode="External"/><Relationship Id="rId12" Type="http://schemas.openxmlformats.org/officeDocument/2006/relationships/hyperlink" Target="https://papers.tinbergen.nl/20034.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fortune.com/2025/06/18/metas-100-million-signing-bonuses-openai-staff-extreme-ai-talent-war/" TargetMode="External"/><Relationship Id="rId15" Type="http://schemas.openxmlformats.org/officeDocument/2006/relationships/hyperlink" Target="https://www.federalregister.gov/documents/2024/05/07/2024-09171/non-compete-clause-rule" TargetMode="External"/><Relationship Id="rId14" Type="http://schemas.openxmlformats.org/officeDocument/2006/relationships/hyperlink" Target="https://www.federalregister.gov/documents/2024/05/07/2024-09171/non-compete-clause-rule" TargetMode="External"/><Relationship Id="rId17" Type="http://schemas.openxmlformats.org/officeDocument/2006/relationships/hyperlink" Target="https://www.oecd.org/en/publications/ai-adoption-by-small-and-medium-sized-enterprises_426399c1-en.html" TargetMode="External"/><Relationship Id="rId16" Type="http://schemas.openxmlformats.org/officeDocument/2006/relationships/hyperlink" Target="https://laterallink.com/the-cost-of-law-firm-associate-turnover/" TargetMode="External"/><Relationship Id="rId5" Type="http://schemas.openxmlformats.org/officeDocument/2006/relationships/styles" Target="styles.xml"/><Relationship Id="rId19" Type="http://schemas.openxmlformats.org/officeDocument/2006/relationships/hyperlink" Target="https://digitaleconomy.stanford.edu/publications/canaries-in-the-coal-mine/" TargetMode="External"/><Relationship Id="rId6" Type="http://schemas.openxmlformats.org/officeDocument/2006/relationships/hyperlink" Target="https://www.pwc.com/gx/en/issues/artificial-intelligence/job-barometer/2025/report.pdf" TargetMode="External"/><Relationship Id="rId18" Type="http://schemas.openxmlformats.org/officeDocument/2006/relationships/hyperlink" Target="https://www.oecd.org/en/publications/ai-adoption-by-small-and-medium-sized-enterprises_426399c1-en.html" TargetMode="External"/><Relationship Id="rId7" Type="http://schemas.openxmlformats.org/officeDocument/2006/relationships/hyperlink" Target="https://www.pwc.com/gx/en/issues/artificial-intelligence/job-barometer/2025/report.pdf" TargetMode="External"/><Relationship Id="rId8" Type="http://schemas.openxmlformats.org/officeDocument/2006/relationships/hyperlink" Target="https://fortune.com/2025/06/18/metas-100-million-signing-bonuses-openai-staff-extreme-ai-talent-wa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