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pBdr>
          <w:top w:color="000000" w:space="0" w:sz="0" w:val="none"/>
          <w:left w:color="000000" w:space="0" w:sz="0" w:val="none"/>
          <w:bottom w:color="000000" w:space="0" w:sz="0" w:val="none"/>
          <w:right w:color="000000" w:space="0" w:sz="0" w:val="none"/>
          <w:between w:color="000000" w:space="0" w:sz="0" w:val="none"/>
        </w:pBdr>
        <w:spacing w:after="0" w:before="0" w:line="240" w:lineRule="auto"/>
        <w:jc w:val="both"/>
        <w:rPr>
          <w:rFonts w:ascii="Avenir" w:cs="Avenir" w:eastAsia="Avenir" w:hAnsi="Avenir"/>
          <w:b w:val="1"/>
          <w:bCs w:val="1"/>
          <w:color w:val="5b9bd5"/>
          <w:sz w:val="24"/>
          <w:szCs w:val="24"/>
        </w:rPr>
      </w:pPr>
      <w:bookmarkStart w:colFirst="0" w:colLast="0" w:name="_drn0mldnrrte" w:id="0"/>
      <w:bookmarkEnd w:id="0"/>
      <w:r w:rsidDel="00000000" w:rsidR="00000000" w:rsidRPr="00000000">
        <w:rPr>
          <w:rFonts w:ascii="Avenir" w:cs="Avenir" w:eastAsia="Avenir" w:hAnsi="Avenir"/>
          <w:b w:val="1"/>
          <w:bCs w:val="1"/>
          <w:color w:val="5b9bd5"/>
          <w:sz w:val="24"/>
          <w:szCs w:val="24"/>
          <w:rtl w:val="0"/>
        </w:rPr>
        <w:t xml:space="preserve">Concentrating Compute Along Water Bodies</w:t>
      </w:r>
    </w:p>
    <w:p w:rsidR="00000000" w:rsidDel="00000000" w:rsidP="00000000" w:rsidRDefault="00000000" w:rsidRPr="00000000" w14:paraId="00000002">
      <w:pPr>
        <w:pStyle w:val="Subtitle"/>
        <w:pBdr>
          <w:top w:color="000000" w:space="0" w:sz="0" w:val="none"/>
          <w:left w:color="000000" w:space="0" w:sz="0" w:val="none"/>
          <w:bottom w:color="000000" w:space="0" w:sz="0" w:val="none"/>
          <w:right w:color="000000" w:space="0" w:sz="0" w:val="none"/>
          <w:between w:color="000000" w:space="0" w:sz="0" w:val="none"/>
        </w:pBdr>
        <w:spacing w:after="0" w:line="360" w:lineRule="auto"/>
        <w:jc w:val="both"/>
        <w:rPr>
          <w:rFonts w:ascii="Avenir" w:cs="Avenir" w:eastAsia="Avenir" w:hAnsi="Avenir"/>
          <w:color w:val="3c3f42"/>
          <w:sz w:val="18"/>
          <w:szCs w:val="18"/>
        </w:rPr>
      </w:pPr>
      <w:bookmarkStart w:colFirst="0" w:colLast="0" w:name="_8fjmlxg915t5" w:id="1"/>
      <w:bookmarkEnd w:id="1"/>
      <w:r w:rsidDel="00000000" w:rsidR="00000000" w:rsidRPr="00000000">
        <w:rPr>
          <w:rFonts w:ascii="Avenir" w:cs="Avenir" w:eastAsia="Avenir" w:hAnsi="Avenir"/>
          <w:b w:val="1"/>
          <w:bCs w:val="1"/>
          <w:color w:val="3c3f42"/>
          <w:sz w:val="18"/>
          <w:szCs w:val="18"/>
          <w:rtl w:val="0"/>
        </w:rPr>
        <w:t xml:space="preserve">Large Water Sources Are Drawing Data Centers for Natural Cooling</w:t>
      </w:r>
      <w:r w:rsidDel="00000000" w:rsidR="00000000" w:rsidRPr="00000000">
        <w:rPr>
          <w:rtl w:val="0"/>
        </w:rPr>
      </w:r>
    </w:p>
    <w:p w:rsidR="00000000" w:rsidDel="00000000" w:rsidP="00000000" w:rsidRDefault="00000000" w:rsidRPr="00000000" w14:paraId="00000003">
      <w:pPr>
        <w:keepLines w:val="1"/>
        <w:pBdr>
          <w:top w:color="000000" w:space="0" w:sz="0" w:val="none"/>
          <w:left w:color="000000" w:space="0" w:sz="0" w:val="none"/>
          <w:bottom w:color="000000" w:space="0" w:sz="0" w:val="none"/>
          <w:right w:color="000000" w:space="0" w:sz="0" w:val="none"/>
          <w:between w:color="000000" w:space="0" w:sz="0" w:val="none"/>
        </w:pBdr>
        <w:spacing w:after="240" w:before="24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Growing demand for AI applications, including autonomous manufacturing and predictive maintenance [309, 310], has led to significant expansion of data center infrastructure [311, 312]. Yet many existing facilities sit in water-scarce regions, having been sited for reasons unrelated to water availability [311, 313]. As AI workloads grow more continuous and compute-dense, the heat output of high-density servers presents an increasing cooling challenge [311]. To address these demands, new hyperscale facilities are increasingly located near oceans or rivers, where seawater or ambient cooling can reduce energy consumption [314, 315, 316]. Scandinavian projects, for example, use seawater cooling and feed waste heat into city district heating networks [317]. This geographic shift, while addressing cooling needs, introduces environmental consequences, particularly regarding the ecological impacts of chemical water treatment and thermal discharge [311, 313]. Water availability is increasingly recognized as an important factor in how and where industrial AI infrastructure can expand [318].</w:t>
      </w:r>
      <w:r w:rsidDel="00000000" w:rsidR="00000000" w:rsidRPr="00000000">
        <w:rPr>
          <w:rtl w:val="0"/>
        </w:rPr>
      </w:r>
    </w:p>
    <w:p w:rsidR="00000000" w:rsidDel="00000000" w:rsidP="00000000" w:rsidRDefault="00000000" w:rsidRPr="00000000" w14:paraId="00000004">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tqbiuatpzxo" w:id="2"/>
      <w:bookmarkEnd w:id="2"/>
      <w:r w:rsidDel="00000000" w:rsidR="00000000" w:rsidRPr="00000000">
        <w:rPr>
          <w:rFonts w:ascii="Avenir" w:cs="Avenir" w:eastAsia="Avenir" w:hAnsi="Avenir"/>
          <w:b w:val="1"/>
          <w:bCs w:val="1"/>
          <w:color w:val="024ea2"/>
          <w:sz w:val="15"/>
          <w:szCs w:val="15"/>
          <w:rtl w:val="0"/>
        </w:rPr>
        <w:t xml:space="preserve">Facts</w:t>
      </w:r>
    </w:p>
    <w:p w:rsidR="00000000" w:rsidDel="00000000" w:rsidP="00000000" w:rsidRDefault="00000000" w:rsidRPr="00000000" w14:paraId="00000005">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Growing AI demand has accelerated data center expansion, with investment reaching approximately 500B USD in 2024 after nearly doubling since 2022 [311, 312].</w:t>
      </w:r>
      <w:r w:rsidDel="00000000" w:rsidR="00000000" w:rsidRPr="00000000">
        <w:rPr>
          <w:rtl w:val="0"/>
        </w:rPr>
      </w:r>
    </w:p>
    <w:p w:rsidR="00000000" w:rsidDel="00000000" w:rsidP="00000000" w:rsidRDefault="00000000" w:rsidRPr="00000000" w14:paraId="00000006">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US-based AI server deployments alone are projected to consume 731-1,125 million m [311]of water annually by 2030, yet much of this capacity sits in water-stressed areas, highlighting the need for a geographic shift toward water-rich sites [3].</w:t>
      </w:r>
    </w:p>
    <w:p w:rsidR="00000000" w:rsidDel="00000000" w:rsidP="00000000" w:rsidRDefault="00000000" w:rsidRPr="00000000" w14:paraId="00000007">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Modern cooling strategies increasingly focus on heat reuse, in which waste heat from liquid-cooled systems is repurposed for district heating or industrial use [317].</w:t>
      </w:r>
      <w:r w:rsidDel="00000000" w:rsidR="00000000" w:rsidRPr="00000000">
        <w:rPr>
          <w:rtl w:val="0"/>
        </w:rPr>
      </w:r>
    </w:p>
    <w:p w:rsidR="00000000" w:rsidDel="00000000" w:rsidP="00000000" w:rsidRDefault="00000000" w:rsidRPr="00000000" w14:paraId="00000008">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8f9ztt2w37wn" w:id="3"/>
      <w:bookmarkEnd w:id="3"/>
      <w:r w:rsidDel="00000000" w:rsidR="00000000" w:rsidRPr="00000000">
        <w:rPr>
          <w:rFonts w:ascii="Avenir" w:cs="Avenir" w:eastAsia="Avenir" w:hAnsi="Avenir"/>
          <w:b w:val="1"/>
          <w:bCs w:val="1"/>
          <w:color w:val="024ea2"/>
          <w:sz w:val="15"/>
          <w:szCs w:val="15"/>
          <w:rtl w:val="0"/>
        </w:rPr>
        <w:t xml:space="preserve">Key Drivers</w:t>
      </w:r>
    </w:p>
    <w:p w:rsidR="00000000" w:rsidDel="00000000" w:rsidP="00000000" w:rsidRDefault="00000000" w:rsidRPr="00000000" w14:paraId="00000009">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Evaporative cooling leaves high concentrations of salts and conditioning chemicals in blowdown water, posing ecological risks. This factor drives interest in closed-loop or alternative cooling to reduce harmful discharges [318].</w:t>
      </w:r>
    </w:p>
    <w:p w:rsidR="00000000" w:rsidDel="00000000" w:rsidP="00000000" w:rsidRDefault="00000000" w:rsidRPr="00000000" w14:paraId="0000000A">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Freshwater scarcity in inland regions increasingly constrains data-center siting and motivates the exploration of alternative cooling strategies [319].</w:t>
      </w:r>
    </w:p>
    <w:p w:rsidR="00000000" w:rsidDel="00000000" w:rsidP="00000000" w:rsidRDefault="00000000" w:rsidRPr="00000000" w14:paraId="0000000B">
      <w:pPr>
        <w:numPr>
          <w:ilvl w:val="0"/>
          <w:numId w:val="3"/>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Water-based cooling provides significant energy savings [320], </w:t>
      </w:r>
      <w:r w:rsidDel="00000000" w:rsidR="00000000" w:rsidRPr="00000000">
        <w:rPr>
          <w:rFonts w:ascii="Avenir" w:cs="Avenir" w:eastAsia="Avenir" w:hAnsi="Avenir"/>
          <w:color w:val="3c3f42"/>
          <w:sz w:val="15"/>
          <w:szCs w:val="15"/>
          <w:rtl w:val="0"/>
        </w:rPr>
        <w:t>with immersion cooling reducing power usage effectiveness by approximately 20% compared to forced air cooling [321].</w:t>
      </w:r>
      <w:r w:rsidDel="00000000" w:rsidR="00000000" w:rsidRPr="00000000">
        <w:rPr>
          <w:rFonts w:ascii="Avenir" w:cs="Avenir" w:eastAsia="Avenir" w:hAnsi="Avenir"/>
          <w:color w:val="3c3f42"/>
          <w:sz w:val="15"/>
          <w:szCs w:val="15"/>
          <w:rtl w:val="0"/>
        </w:rPr>
        <w:t xml:space="preserve"> This incentivizes locating data centers near large bodies of water or along the coast.</w:t>
      </w:r>
      <w:r w:rsidDel="00000000" w:rsidR="00000000" w:rsidRPr="00000000">
        <w:rPr>
          <w:rtl w:val="0"/>
        </w:rPr>
      </w:r>
    </w:p>
    <w:p w:rsidR="00000000" w:rsidDel="00000000" w:rsidP="00000000" w:rsidRDefault="00000000" w:rsidRPr="00000000" w14:paraId="0000000C">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z7yfbaod60t" w:id="4"/>
      <w:bookmarkEnd w:id="4"/>
      <w:r w:rsidDel="00000000" w:rsidR="00000000" w:rsidRPr="00000000">
        <w:rPr>
          <w:rFonts w:ascii="Avenir" w:cs="Avenir" w:eastAsia="Avenir" w:hAnsi="Avenir"/>
          <w:b w:val="1"/>
          <w:bCs w:val="1"/>
          <w:color w:val="024ea2"/>
          <w:sz w:val="15"/>
          <w:szCs w:val="15"/>
          <w:rtl w:val="0"/>
        </w:rPr>
        <w:t xml:space="preserve">Challenges</w:t>
      </w:r>
    </w:p>
    <w:p w:rsidR="00000000" w:rsidDel="00000000" w:rsidP="00000000" w:rsidRDefault="00000000" w:rsidRPr="00000000" w14:paraId="0000000D">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A major challenge is managing “blowdown” water, the concentrated waste removed from cooling towers. While conditioning chemicals are essential for operational longevity, they are often discharged back into local environments. This water contains high levels of dissolved solids and chemical residuals, including scale inhibitors, biocides, and corrosion products. If improperly managed, the discharge of this water can have an adverse impact on soil and groundwater, which are often sources of potable water [318].</w:t>
      </w:r>
    </w:p>
    <w:p w:rsidR="00000000" w:rsidDel="00000000" w:rsidP="00000000" w:rsidRDefault="00000000" w:rsidRPr="00000000" w14:paraId="0000000E">
      <w:pPr>
        <w:numPr>
          <w:ilvl w:val="0"/>
          <w:numId w:val="1"/>
        </w:numPr>
        <w:pBdr>
          <w:top w:color="000000" w:space="0" w:sz="0" w:val="none"/>
          <w:left w:color="000000" w:space="0" w:sz="0" w:val="none"/>
          <w:bottom w:color="000000" w:space="0" w:sz="0" w:val="none"/>
          <w:right w:color="000000" w:space="0" w:sz="0" w:val="none"/>
          <w:between w:color="000000" w:space="0" w:sz="0" w:val="none"/>
        </w:pBdr>
        <w:spacing w:line="240" w:lineRule="auto"/>
        <w:ind w:left="720" w:hanging="360"/>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Data-center water use can stress local resources, especially in dry regions, exacerbating competition with agriculture and communities [313, 320].</w:t>
      </w:r>
      <w:r w:rsidDel="00000000" w:rsidR="00000000" w:rsidRPr="00000000">
        <w:rPr>
          <w:rtl w:val="0"/>
        </w:rPr>
      </w:r>
    </w:p>
    <w:p w:rsidR="00000000" w:rsidDel="00000000" w:rsidP="00000000" w:rsidRDefault="00000000" w:rsidRPr="00000000" w14:paraId="0000000F">
      <w:pPr>
        <w:pBdr>
          <w:top w:color="000000" w:space="0" w:sz="0" w:val="none"/>
          <w:left w:color="000000" w:space="0" w:sz="0" w:val="none"/>
          <w:bottom w:color="000000" w:space="0" w:sz="0" w:val="none"/>
          <w:right w:color="000000" w:space="0" w:sz="0" w:val="none"/>
          <w:between w:color="000000" w:space="0" w:sz="0" w:val="none"/>
        </w:pBdr>
        <w:spacing w:line="240" w:lineRule="auto"/>
        <w:ind w:left="720" w:firstLine="0"/>
        <w:jc w:val="both"/>
        <w:rPr>
          <w:rFonts w:ascii="Avenir" w:cs="Avenir" w:eastAsia="Avenir" w:hAnsi="Avenir"/>
          <w:color w:val="3c3f42"/>
          <w:sz w:val="15"/>
          <w:szCs w:val="15"/>
        </w:rPr>
      </w:pPr>
      <w:r w:rsidDel="00000000" w:rsidR="00000000" w:rsidRPr="00000000">
        <w:rPr>
          <w:rtl w:val="0"/>
        </w:rPr>
      </w:r>
    </w:p>
    <w:p w:rsidR="00000000" w:rsidDel="00000000" w:rsidP="00000000" w:rsidRDefault="00000000" w:rsidRPr="00000000" w14:paraId="00000010">
      <w:pPr>
        <w:pStyle w:val="Heading2"/>
        <w:pBdr>
          <w:top w:color="000000" w:space="0" w:sz="0" w:val="none"/>
          <w:left w:color="000000" w:space="0" w:sz="0" w:val="none"/>
          <w:bottom w:color="000000" w:space="0" w:sz="0" w:val="none"/>
          <w:right w:color="000000" w:space="0" w:sz="0" w:val="none"/>
          <w:between w:color="000000" w:space="0" w:sz="0" w:val="none"/>
        </w:pBdr>
        <w:spacing w:after="0" w:before="240" w:line="360" w:lineRule="auto"/>
        <w:jc w:val="both"/>
        <w:rPr>
          <w:rFonts w:ascii="Avenir" w:cs="Avenir" w:eastAsia="Avenir" w:hAnsi="Avenir"/>
          <w:b w:val="1"/>
          <w:bCs w:val="1"/>
          <w:color w:val="024ea2"/>
          <w:sz w:val="15"/>
          <w:szCs w:val="15"/>
        </w:rPr>
      </w:pPr>
      <w:bookmarkStart w:colFirst="0" w:colLast="0" w:name="_9szsnjdjwjfv" w:id="5"/>
      <w:bookmarkEnd w:id="5"/>
      <w:r w:rsidDel="00000000" w:rsidR="00000000" w:rsidRPr="00000000">
        <w:rPr>
          <w:rFonts w:ascii="Avenir" w:cs="Avenir" w:eastAsia="Avenir" w:hAnsi="Avenir"/>
          <w:b w:val="1"/>
          <w:bCs w:val="1"/>
          <w:color w:val="024ea2"/>
          <w:sz w:val="15"/>
          <w:szCs w:val="15"/>
          <w:rtl w:val="0"/>
        </w:rPr>
        <w:t xml:space="preserve">Impact on Industrial AI</w:t>
      </w:r>
    </w:p>
    <w:p w:rsidR="00000000" w:rsidDel="00000000" w:rsidP="00000000" w:rsidRDefault="00000000" w:rsidRPr="00000000" w14:paraId="00000011">
      <w:pPr>
        <w:pBdr>
          <w:top w:color="000000" w:space="0" w:sz="0" w:val="none"/>
          <w:left w:color="000000" w:space="0" w:sz="0" w:val="none"/>
          <w:bottom w:color="000000" w:space="0" w:sz="0" w:val="none"/>
          <w:right w:color="000000" w:space="0" w:sz="0" w:val="none"/>
          <w:between w:color="000000" w:space="0" w:sz="0" w:val="none"/>
        </w:pBdr>
        <w:spacing w:after="120" w:before="120" w:line="240" w:lineRule="auto"/>
        <w:jc w:val="both"/>
        <w:rPr>
          <w:rFonts w:ascii="Avenir" w:cs="Avenir" w:eastAsia="Avenir" w:hAnsi="Avenir"/>
          <w:color w:val="3c3f42"/>
          <w:sz w:val="15"/>
          <w:szCs w:val="15"/>
        </w:rPr>
      </w:pPr>
      <w:r w:rsidDel="00000000" w:rsidR="00000000" w:rsidRPr="00000000">
        <w:rPr>
          <w:rFonts w:ascii="Avenir" w:cs="Avenir" w:eastAsia="Avenir" w:hAnsi="Avenir"/>
          <w:color w:val="3c3f42"/>
          <w:sz w:val="15"/>
          <w:szCs w:val="15"/>
          <w:rtl w:val="0"/>
        </w:rPr>
        <w:t xml:space="preserve">The </w:t>
      </w:r>
      <w:r w:rsidDel="00000000" w:rsidR="00000000" w:rsidRPr="00000000">
        <w:rPr>
          <w:rFonts w:ascii="Avenir" w:cs="Avenir" w:eastAsia="Avenir" w:hAnsi="Avenir"/>
          <w:color w:val="3c3f42"/>
          <w:sz w:val="15"/>
          <w:szCs w:val="15"/>
          <w:rtl w:val="0"/>
        </w:rPr>
        <w:t xml:space="preserve">compute</w:t>
      </w:r>
      <w:r w:rsidDel="00000000" w:rsidR="00000000" w:rsidRPr="00000000">
        <w:rPr>
          <w:rFonts w:ascii="Avenir" w:cs="Avenir" w:eastAsia="Avenir" w:hAnsi="Avenir"/>
          <w:color w:val="3c3f42"/>
          <w:sz w:val="15"/>
          <w:szCs w:val="15"/>
          <w:rtl w:val="0"/>
        </w:rPr>
        <w:t xml:space="preserve"> demands of industrial AI, including autonomous manufacturing and digital twins [50, 309], are contributing to a geographic shift in infrastructure toward regions with abundant water access. To manage the heat output of dense AI accelerators, some operators are exploring marine and coastal environments where seawater cooling, renewable energy availability, and lower land costs converge [314, 315, 316]. While this reduces energy consumption, discharging thermal plumes and chemically treated cooling water raises concerns about marine ecosystem impacts, including biofouling chemicals and temperature disturbances to benthic communities [322, 323]. Sustainable scaling of industrial AI may therefore require complementing carbon accounting with localized ecological assessments and stricter metrics such as Water Usage Effectiveness (WUE) [324].</w:t>
      </w: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venir"/>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yperlink" Target="https://natick.research.microsoft.com/" TargetMode="External"/><Relationship Id="rId10" Type="http://schemas.openxmlformats.org/officeDocument/2006/relationships/hyperlink" Target="https://www.scientificamerican.com/article/china-powers-ai-boom-with-undersea-data-centers/" TargetMode="External"/><Relationship Id="rId12" Type="http://schemas.openxmlformats.org/officeDocument/2006/relationships/hyperlink" Target="https://natick.research.microsoft.com/" TargetMode="External"/><Relationship Id="rId9" Type="http://schemas.openxmlformats.org/officeDocument/2006/relationships/hyperlink" Target="https://www.scientificamerican.com/article/china-powers-ai-boom-with-undersea-data-centers/" TargetMode="External"/><Relationship Id="rId5" Type="http://schemas.openxmlformats.org/officeDocument/2006/relationships/styles" Target="styles.xml"/><Relationship Id="rId6" Type="http://schemas.openxmlformats.org/officeDocument/2006/relationships/hyperlink" Target="https://www.iea.org/reports/energy-and-ai" TargetMode="External"/><Relationship Id="rId7" Type="http://schemas.openxmlformats.org/officeDocument/2006/relationships/hyperlink" Target="https://www.google.com/about/datacenters/locations/hamina/" TargetMode="External"/><Relationship Id="rId8" Type="http://schemas.openxmlformats.org/officeDocument/2006/relationships/hyperlink" Target="https://www.google.com/about/datacenters/locations/hamin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