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0" w:firstLine="0"/>
        <w:jc w:val="both"/>
        <w:rPr>
          <w:rFonts w:ascii="Avenir" w:cs="Avenir" w:eastAsia="Avenir" w:hAnsi="Avenir"/>
          <w:b w:val="1"/>
          <w:bCs w:val="1"/>
          <w:color w:val="5b9bd5"/>
          <w:sz w:val="24"/>
          <w:szCs w:val="24"/>
        </w:rPr>
      </w:pPr>
      <w:bookmarkStart w:colFirst="0" w:colLast="0" w:name="_a57dqyydf1h4" w:id="0"/>
      <w:bookmarkEnd w:id="0"/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Accelerating Materials Discovery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Subtitle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360" w:lineRule="auto"/>
        <w:jc w:val="both"/>
        <w:rPr>
          <w:rFonts w:ascii="Avenir" w:cs="Avenir" w:eastAsia="Avenir" w:hAnsi="Avenir"/>
          <w:color w:val="3c3f42"/>
          <w:sz w:val="18"/>
          <w:szCs w:val="18"/>
        </w:rPr>
      </w:pPr>
      <w:bookmarkStart w:colFirst="0" w:colLast="0" w:name="_bow3maj4j5hr" w:id="1"/>
      <w:bookmarkEnd w:id="1"/>
      <w:r w:rsidDel="00000000" w:rsidR="00000000" w:rsidRPr="00000000">
        <w:rPr>
          <w:rFonts w:ascii="Avenir" w:cs="Avenir" w:eastAsia="Avenir" w:hAnsi="Avenir"/>
          <w:color w:val="3c3f42"/>
          <w:sz w:val="18"/>
          <w:szCs w:val="18"/>
          <w:rtl w:val="0"/>
        </w:rPr>
        <w:t xml:space="preserve">Shifting from Empirical Research to Decentralized Self-Driving Labs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  <w:vertAlign w:val="superscript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The discovery of sustainable materials is critical for the transition towards sustainability. Historically, this process relied on trial-and-error laboratory experimentation [345], but materials science is now shifting toward machine learning and generative models that enable researchers to rapidly predict new material compounds [345, 346]. By autonomously synthesizing and proposing structures on demand, these technologies can augment large parts of the traditional scientific method with intelligent, data-driven design [347, 348]. As a result, the development cycle for new materials can be shortened, enabling the identification of high-performance materials for the next generation of industrial applications [346]. However, most industries face a bottleneck when translating these lab-scale breakthroughs into larger settings [349]. A formulation engineered in a controlled lab frequently fails when exposed to the operational complexities of an asset-heavy factory [350]. The physical and organizational divide between research and production is already being tackled with end-to-end digital pipelines encompassing discovery, prototyping, and scale-up [351]. The lab-to-production transition can be de-risked using digital twin simulations before committing physical resources [351, 352].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240" w:line="36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bookmarkStart w:colFirst="0" w:colLast="0" w:name="_842vbkxem9ln" w:id="2"/>
      <w:bookmarkEnd w:id="2"/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Facts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AI paired with cloud computing enables researchers to quickly navigate more than 32M candidates and predict around 0.5M potentially stable materials for clean energy applications, such as solid-state batteries, in less than 80 hours [345].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Recent research shows that deep learning models can achieve ~20% higher accuracy than traditional ML approaches when screening compounds from natural sources, highlighting AI's potential to accelerate biomaterial discovery [347].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Prototype platforms like "Polybot" use AI-driven robots to perform experiments without human intervention, linking local physical synthesis with remote compute facilities [353].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2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240" w:line="36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bookmarkStart w:colFirst="0" w:colLast="0" w:name="_7oaedky4gzpp" w:id="3"/>
      <w:bookmarkEnd w:id="3"/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Key Drivers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In chemical and materials discovery, AI is expected to expand the search space and accelerate R&amp;D throughput by up to 75%, while generative design, paired with in-silico evaluation, reduces physical resource demand [354].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The EU Chemicals Strategy for Sustainability (CSS) and Safe and Sustainable by Design (SSbD) frameworks push industry to consider life-cycle-wide safety and environmental impact from the start, instead of retrospectively [355].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Automated screening enables evaluation across environmental footprint and supply chain vulnerability, prioritizing non-scarce raw materials with lower ecotoxicity and greenhouse gas intensity [355].</w:t>
      </w:r>
    </w:p>
    <w:p w:rsidR="00000000" w:rsidDel="00000000" w:rsidP="00000000" w:rsidRDefault="00000000" w:rsidRPr="00000000" w14:paraId="0000000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2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240" w:line="36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bookmarkStart w:colFirst="0" w:colLast="0" w:name="_4uh2xiwatnbt" w:id="4"/>
      <w:bookmarkEnd w:id="4"/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Challenges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Finding a promising material digitally does not guarantee it will scale [349, 350]. Despite advances in AI-driven discovery, examples of computationally designed materials put into production remain rare [345].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Autonomous synthesis setups face physical and chemical constraints, limiting the range of replicable conditions. Simulations struggle to bridge this gap as data to model extreme conditions is scarce and fragmented [351].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SSbD requires environmental assessment from production to end-of-life. The framework demands early sustainability assessment, but the necessary data only becomes available as Technology Readiness Levels (TRL) increase [355].</w:t>
      </w:r>
    </w:p>
    <w:p w:rsidR="00000000" w:rsidDel="00000000" w:rsidP="00000000" w:rsidRDefault="00000000" w:rsidRPr="00000000" w14:paraId="00000011">
      <w:pPr>
        <w:pStyle w:val="Heading2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240" w:line="36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bookmarkStart w:colFirst="0" w:colLast="0" w:name="_b5w5q25jjf3x" w:id="5"/>
      <w:bookmarkEnd w:id="5"/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Impact on Industrial AI</w:t>
      </w:r>
    </w:p>
    <w:p w:rsidR="00000000" w:rsidDel="00000000" w:rsidP="00000000" w:rsidRDefault="00000000" w:rsidRPr="00000000" w14:paraId="0000001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AI-driven materials discovery drives a structural shift in industry, moving discovery out of centralized research settings and embedding it more closely with the operations of manufacturers [350, 351]. Because centralized computing infrastructure alone cannot capture the full complexity of factory-floor conditions [349, 350], the field is moving toward decentralized, self-driving laboratories [356, 357]. These platforms couple generative design with robotic synthesis so that new materials are tested and refined directly against production-relevant variables [346, 350, 351]. Research and manufacturing are merged into a closed loop, allowing industries to scale materials more efficiently and predictably [354, 355, 358].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mckinsey.com/capabilities/quantumblack/our-insights/the-next-innovation-revolution-powered-by-a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