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v7pw8cy83g8l" w:id="0"/>
      <w:bookmarkEnd w:id="0"/>
      <w:r w:rsidDel="00000000" w:rsidR="00000000" w:rsidRPr="00000000">
        <w:rPr>
          <w:rFonts w:ascii="Avenir" w:cs="Avenir" w:eastAsia="Avenir" w:hAnsi="Avenir"/>
          <w:b w:val="1"/>
          <w:bCs w:val="1"/>
          <w:color w:val="5b9bd5"/>
          <w:sz w:val="24"/>
          <w:szCs w:val="24"/>
          <w:rtl w:val="0"/>
        </w:rPr>
        <w:t xml:space="preserve">Establishing Public Recycling Hubs</w:t>
      </w:r>
      <w:r w:rsidDel="00000000" w:rsidR="00000000" w:rsidRPr="00000000">
        <w:rPr>
          <w:rtl w:val="0"/>
        </w:rPr>
      </w:r>
    </w:p>
    <w:p w:rsidR="00000000" w:rsidDel="00000000" w:rsidP="00000000" w:rsidRDefault="00000000" w:rsidRPr="00000000" w14:paraId="00000002">
      <w:pPr>
        <w:pStyle w:val="Subtitle"/>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8"/>
          <w:szCs w:val="18"/>
        </w:rPr>
      </w:pPr>
      <w:bookmarkStart w:colFirst="0" w:colLast="0" w:name="_lpwqxy913se9" w:id="1"/>
      <w:bookmarkEnd w:id="1"/>
      <w:r w:rsidDel="00000000" w:rsidR="00000000" w:rsidRPr="00000000">
        <w:rPr>
          <w:rFonts w:ascii="Avenir" w:cs="Avenir" w:eastAsia="Avenir" w:hAnsi="Avenir"/>
          <w:color w:val="3c3f42"/>
          <w:sz w:val="18"/>
          <w:szCs w:val="18"/>
          <w:rtl w:val="0"/>
        </w:rPr>
        <w:t xml:space="preserve">Leveraging AI to automate sorting and recover critical materials at scale</w:t>
      </w:r>
    </w:p>
    <w:p w:rsidR="00000000" w:rsidDel="00000000" w:rsidP="00000000" w:rsidRDefault="00000000" w:rsidRPr="00000000" w14:paraId="00000003">
      <w:pPr>
        <w:pStyle w:val="Subtitle"/>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5"/>
          <w:szCs w:val="15"/>
        </w:rPr>
      </w:pPr>
      <w:bookmarkStart w:colFirst="0" w:colLast="0" w:name="_pjv8r7tjxwh5" w:id="2"/>
      <w:bookmarkEnd w:id="2"/>
      <w:r w:rsidDel="00000000" w:rsidR="00000000" w:rsidRPr="00000000">
        <w:rPr>
          <w:rtl w:val="0"/>
        </w:rPr>
      </w:r>
    </w:p>
    <w:p w:rsidR="00000000" w:rsidDel="00000000" w:rsidP="00000000" w:rsidRDefault="00000000" w:rsidRPr="00000000" w14:paraId="00000004">
      <w:pPr>
        <w:pStyle w:val="Subtitle"/>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5"/>
          <w:szCs w:val="15"/>
        </w:rPr>
      </w:pPr>
      <w:bookmarkStart w:colFirst="0" w:colLast="0" w:name="_kws5zp99fy" w:id="3"/>
      <w:bookmarkEnd w:id="3"/>
      <w:r w:rsidDel="00000000" w:rsidR="00000000" w:rsidRPr="00000000">
        <w:rPr>
          <w:rFonts w:ascii="Avenir" w:cs="Avenir" w:eastAsia="Avenir" w:hAnsi="Avenir"/>
          <w:color w:val="3c3f42"/>
          <w:sz w:val="15"/>
          <w:szCs w:val="15"/>
          <w:rtl w:val="0"/>
        </w:rPr>
        <w:t>As industrial demand for critical minerals grows, primary reserves of lithium and cobalt risk being exceeded, making scaled recycling capacity a strategic imperative [359, 360]. AI serves as an enabler for large-scale recycling hubs by automating sorting, material classification, and process optimization at a speed and accuracy that manual operations cannot match [361, 362]. However, integrating AI-powered robotic sorting demands substantial upfront capital, and Return on Investment (</w:t>
      </w:r>
      <w:r w:rsidDel="00000000" w:rsidR="00000000" w:rsidRPr="00000000">
        <w:rPr>
          <w:rFonts w:ascii="Avenir" w:cs="Avenir" w:eastAsia="Avenir" w:hAnsi="Avenir"/>
          <w:color w:val="3c3f42"/>
          <w:sz w:val="15"/>
          <w:szCs w:val="15"/>
          <w:rtl w:val="0"/>
        </w:rPr>
        <w:t xml:space="preserve">ROI</w:t>
      </w:r>
      <w:r w:rsidDel="00000000" w:rsidR="00000000" w:rsidRPr="00000000">
        <w:rPr>
          <w:rFonts w:ascii="Avenir" w:cs="Avenir" w:eastAsia="Avenir" w:hAnsi="Avenir"/>
          <w:color w:val="3c3f42"/>
          <w:sz w:val="15"/>
          <w:szCs w:val="15"/>
          <w:rtl w:val="0"/>
        </w:rPr>
        <w:t>) remains highly variable for facility operators, deterring private operators from committing to full automation [363].</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Publicly coordinated recycling hubs address this barrier by pooling infrastructure investment across multiple stakeholders, lowering per-facility capital exposure and enabling the shared operational datasets that AI sorting systems require to function reliably at scale [299, 363]. The EU has moved in this direction through the </w:t>
      </w:r>
      <w:r w:rsidDel="00000000" w:rsidR="00000000" w:rsidRPr="00000000">
        <w:rPr>
          <w:rFonts w:ascii="Avenir" w:cs="Avenir" w:eastAsia="Avenir" w:hAnsi="Avenir"/>
          <w:color w:val="3c3f42"/>
          <w:sz w:val="15"/>
          <w:szCs w:val="15"/>
          <w:rtl w:val="0"/>
        </w:rPr>
        <w:t xml:space="preserve">CRMA</w:t>
      </w:r>
      <w:r w:rsidDel="00000000" w:rsidR="00000000" w:rsidRPr="00000000">
        <w:rPr>
          <w:rFonts w:ascii="Avenir" w:cs="Avenir" w:eastAsia="Avenir" w:hAnsi="Avenir"/>
          <w:color w:val="3c3f42"/>
          <w:sz w:val="15"/>
          <w:szCs w:val="15"/>
          <w:rtl w:val="0"/>
        </w:rPr>
        <w:t xml:space="preserve"> and RESourceEU Action Plan, which establish domestic recycling targets for critical raw materials [364, 365]. By combining shared infrastructure with AI-driven sorting systems that outperform manual recovery rates [362, 366], publicly operated hubs produce high-purity recycled output, building the economic case for sustained automation investment [363, 367].</w:t>
      </w:r>
      <w:r w:rsidDel="00000000" w:rsidR="00000000" w:rsidRPr="00000000">
        <w:rPr>
          <w:rtl w:val="0"/>
        </w:rPr>
      </w:r>
    </w:p>
    <w:p w:rsidR="00000000" w:rsidDel="00000000" w:rsidP="00000000" w:rsidRDefault="00000000" w:rsidRPr="00000000" w14:paraId="00000006">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color w:val="3c3f42"/>
          <w:sz w:val="15"/>
          <w:szCs w:val="15"/>
        </w:rPr>
      </w:pPr>
      <w:bookmarkStart w:colFirst="0" w:colLast="0" w:name="_jmlibajwzfhk" w:id="4"/>
      <w:bookmarkEnd w:id="4"/>
      <w:r w:rsidDel="00000000" w:rsidR="00000000" w:rsidRPr="00000000">
        <w:rPr>
          <w:rFonts w:ascii="Avenir" w:cs="Avenir" w:eastAsia="Avenir" w:hAnsi="Avenir"/>
          <w:b w:val="1"/>
          <w:bCs w:val="1"/>
          <w:color w:val="024ea2"/>
          <w:sz w:val="15"/>
          <w:szCs w:val="15"/>
          <w:rtl w:val="0"/>
        </w:rPr>
        <w:t xml:space="preserve">Facts </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Global demand for lithium is projected to grow fivefold by 2040, with mine supply already expected to create a 40% shortfall by 2035, signaling an acute global supply gap [359].</w:t>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Scaled recycling of critical minerals could reduce new mining activity by up to 30% by 2040, while producing 80% fewer greenhouse gas emissions than primary extraction [359].</w:t>
      </w:r>
      <w:r w:rsidDel="00000000" w:rsidR="00000000" w:rsidRPr="00000000">
        <w:rPr>
          <w:rtl w:val="0"/>
        </w:rPr>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Advanced deep learning models achieve up to 97.7% accuracy in identifying and classifying complex waste streams [366], while AI-powered robotic systems reach sorting speeds up to ten times those of manual workers [362].</w:t>
      </w:r>
    </w:p>
    <w:p w:rsidR="00000000" w:rsidDel="00000000" w:rsidP="00000000" w:rsidRDefault="00000000" w:rsidRPr="00000000" w14:paraId="0000000A">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lgu47amps9w" w:id="5"/>
      <w:bookmarkEnd w:id="5"/>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B">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Economic pressure from material scarcity and volatile commodity prices is making high-quality recycling financially attractive, pushing investment into scalable, automated solutions [359, 363].</w:t>
      </w:r>
    </w:p>
    <w:p w:rsidR="00000000" w:rsidDel="00000000" w:rsidP="00000000" w:rsidRDefault="00000000" w:rsidRPr="00000000" w14:paraId="0000000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AI-driven sorting significantly improves recovery rates and material purity, directly enhancing the profitability of recycling operations compared to manual processes [362, 366].</w:t>
      </w:r>
    </w:p>
    <w:p w:rsidR="00000000" w:rsidDel="00000000" w:rsidP="00000000" w:rsidRDefault="00000000" w:rsidRPr="00000000" w14:paraId="0000000D">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Policy frameworks such as the CRMA incentivize domestic recycling capacity, accelerate infrastructure development, and reduce dependence on primary resource imports [365].</w:t>
      </w:r>
      <w:r w:rsidDel="00000000" w:rsidR="00000000" w:rsidRPr="00000000">
        <w:rPr>
          <w:rtl w:val="0"/>
        </w:rPr>
      </w:r>
    </w:p>
    <w:p w:rsidR="00000000" w:rsidDel="00000000" w:rsidP="00000000" w:rsidRDefault="00000000" w:rsidRPr="00000000" w14:paraId="0000000E">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lvast08mdg1q" w:id="6"/>
      <w:bookmarkEnd w:id="6"/>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Public investment in shared recycling infrastructure remains insufficient, with the EU facing an estimated financing shortfall of at least 29B EUR for the transition to a circular economy [368].</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Developing accurate AI sorting algorithms requires high-quality, task-specific training data, yet existing datasets in the waste management sector are often inadequate, requiring dedicated data collection efforts [369].</w:t>
      </w:r>
    </w:p>
    <w:p w:rsidR="00000000" w:rsidDel="00000000" w:rsidP="00000000" w:rsidRDefault="00000000" w:rsidRPr="00000000" w14:paraId="00000011">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Contamination and mixed material compositions in incoming waste streams reduce sorting accuracy and recovery rates, undermining the economic viability of automated facilities operating without controlled input streams [362, 363].</w:t>
      </w:r>
      <w:r w:rsidDel="00000000" w:rsidR="00000000" w:rsidRPr="00000000">
        <w:rPr>
          <w:rtl w:val="0"/>
        </w:rPr>
      </w:r>
    </w:p>
    <w:p w:rsidR="00000000" w:rsidDel="00000000" w:rsidP="00000000" w:rsidRDefault="00000000" w:rsidRPr="00000000" w14:paraId="00000012">
      <w:pPr>
        <w:pStyle w:val="Heading2"/>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bookmarkStart w:colFirst="0" w:colLast="0" w:name="_nkx5q7y61m8m" w:id="7"/>
      <w:bookmarkEnd w:id="7"/>
      <w:r w:rsidDel="00000000" w:rsidR="00000000" w:rsidRPr="00000000">
        <w:rPr>
          <w:rtl w:val="0"/>
        </w:rPr>
      </w:r>
    </w:p>
    <w:p w:rsidR="00000000" w:rsidDel="00000000" w:rsidP="00000000" w:rsidRDefault="00000000" w:rsidRPr="00000000" w14:paraId="00000013">
      <w:pPr>
        <w:pStyle w:val="Heading2"/>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bookmarkStart w:colFirst="0" w:colLast="0" w:name="_iomuoi4imia1" w:id="8"/>
      <w:bookmarkEnd w:id="8"/>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4">
      <w:pPr>
        <w:pStyle w:val="Heading2"/>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bookmarkStart w:colFirst="0" w:colLast="0" w:name="_dncetoa1plui" w:id="9"/>
      <w:bookmarkEnd w:id="9"/>
      <w:r w:rsidDel="00000000" w:rsidR="00000000" w:rsidRPr="00000000">
        <w:rPr>
          <w:rFonts w:ascii="Avenir" w:cs="Avenir" w:eastAsia="Avenir" w:hAnsi="Avenir"/>
          <w:color w:val="3c3f42"/>
          <w:sz w:val="15"/>
          <w:szCs w:val="15"/>
          <w:rtl w:val="0"/>
        </w:rPr>
        <w:t>Public recycling hubs extend industrial AI beyond factory settings into shared infrastructure serving multiple operators and waste streams simultaneously. This demands AI systems capable of handling highly heterogeneous material inputs, raising the bar for perception robustness and model generalization in real-world industrial conditions [369]. Aggregating sorting data across facilities can further improve model performance and enable scalable learning [370], but only under common data governance standards, a coordination role that neutral public infrastructure is structurally better placed to fulfil than competing private operators [371].</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zotero.org/google-docs/?aWSv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