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ty3l22gfvoz2" w:id="0"/>
      <w:bookmarkEnd w:id="0"/>
      <w:r w:rsidDel="00000000" w:rsidR="00000000" w:rsidRPr="00000000">
        <w:rPr>
          <w:rFonts w:ascii="Avenir" w:cs="Avenir" w:eastAsia="Avenir" w:hAnsi="Avenir"/>
          <w:b w:val="1"/>
          <w:bCs w:val="1"/>
          <w:color w:val="5b9bd5"/>
          <w:sz w:val="24"/>
          <w:szCs w:val="24"/>
          <w:rtl w:val="0"/>
        </w:rPr>
        <w:t xml:space="preserve">Introduction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Environmental resilience is a fundamental requirement for establishing industrial AI [294]. As AI clusters become more central to industries, the underlying infrastructure demands physical resource dependability. Protecting these assets from climate-driven disruptions and ensuring a consistent supply of energy and resources are strategic prerequisites for industrial continuity.</w:t>
      </w:r>
      <w:r w:rsidDel="00000000" w:rsidR="00000000" w:rsidRPr="00000000">
        <w:rPr>
          <w:rFonts w:ascii="Avenir" w:cs="Avenir" w:eastAsia="Avenir" w:hAnsi="Avenir"/>
          <w:color w:val="3c3f42"/>
          <w:sz w:val="15"/>
          <w:szCs w:val="15"/>
          <w:rtl w:val="0"/>
        </w:rPr>
        <w:t xml:space="preserve"> The fast expansion of AI has ambivalent consequences for the environment</w:t>
      </w:r>
      <w:r w:rsidDel="00000000" w:rsidR="00000000" w:rsidRPr="00000000">
        <w:rPr>
          <w:rFonts w:ascii="Avenir" w:cs="Avenir" w:eastAsia="Avenir" w:hAnsi="Avenir"/>
          <w:color w:val="3c3f42"/>
          <w:sz w:val="15"/>
          <w:szCs w:val="15"/>
          <w:rtl w:val="0"/>
        </w:rPr>
        <w:t xml:space="preserve"> Its growing physical footprint strains planetary boundaries, while its analytical capabilities offer tools to operate within them [295]..</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On the one hand, AI poses a high demand for resources such as energy, rare earth materials, and water, which are only increased by its exponential adoption in industry as it moves from occasional analytics to continuous, compute-intensive operations at a large scale [296].</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For instance, executing AI-driven operations can consume up to ten times as much electricity as traditional computing and search tasks [297]</w:t>
      </w:r>
      <w:r w:rsidDel="00000000" w:rsidR="00000000" w:rsidRPr="00000000">
        <w:rPr>
          <w:rFonts w:ascii="Avenir" w:cs="Avenir" w:eastAsia="Avenir" w:hAnsi="Avenir"/>
          <w:color w:val="3c3f42"/>
          <w:sz w:val="15"/>
          <w:szCs w:val="15"/>
          <w:rtl w:val="0"/>
        </w:rPr>
      </w:r>
      <w:r w:rsidDel="00000000" w:rsidR="00000000" w:rsidRPr="00000000">
        <w:rPr>
          <w:rFonts w:ascii="Avenir" w:cs="Avenir" w:eastAsia="Avenir" w:hAnsi="Avenir"/>
          <w:color w:val="3c3f42"/>
          <w:sz w:val="15"/>
          <w:szCs w:val="15"/>
          <w:rtl w:val="0"/>
        </w:rPr>
        <w:t>Many of these resource dependencies remain opaque, creating systemic vulnerabilities [296].</w:t>
      </w:r>
      <w:r w:rsidDel="00000000" w:rsidR="00000000" w:rsidRPr="00000000">
        <w:rPr>
          <w:rFonts w:ascii="Avenir" w:cs="Avenir" w:eastAsia="Avenir" w:hAnsi="Avenir"/>
          <w:color w:val="3c3f42"/>
          <w:sz w:val="15"/>
          <w:szCs w:val="15"/>
          <w:rtl w:val="0"/>
        </w:rPr>
        <w:t xml:space="preserve"> Without transitioning toward sustainable land use and circular material sourcing, the hardware required for industrial intelligence risks hitting a physical growth ceiling [298]..</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On the other hand, AI serves as a catalyst for the global transition toward a circular economy. Circularity is a regenerative economic model designed to replace the linear "take-make-waste" approach and instead prioritizes sustainable resource production and consumption by reusing, recycling, or redesigning materials and products to maximize product lifecycles [299, 300]. Global implementation of circularity could reduce global emissions by 22.8B tons, providing the environmental stability necessary for long-term industrial operations [301].</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Regulatory frameworks begin to embrace these practices, particularly in the EU. The EU CEAP, the CRMA, and the ESPR are transforming circularity from a series of isolated pilots into a standardized industrial process, paving the way for large-scale systemic shifts [247, 302, 303]. These mandates establish clear data protocols for industrial automation, thereby lowering barriers to adoption and ultimately strengthening European resource sovereignty [304, 305]. A central mechanism introduced by these regulations is the DPP, a structured, machine-readable data container that tracks sustainability and lifecycle information across supply chains [304].</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AI-driven solutions have the potential to optimize the entire industrial value chain and facilitate cross-value chain collaboration. Evidence from recent bibliometric and network analyses confirms that the field is rapidly expanding, with applications already moving beyond a select few pilot projects toward standardized, reproducible operational practices [306].</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serves as a positive force in the transition toward a circular economy [307]</w:t>
      </w:r>
      <w:r w:rsidDel="00000000" w:rsidR="00000000" w:rsidRPr="00000000">
        <w:rPr>
          <w:rFonts w:ascii="Avenir" w:cs="Avenir" w:eastAsia="Avenir" w:hAnsi="Avenir"/>
          <w:color w:val="3c3f42"/>
          <w:sz w:val="15"/>
          <w:szCs w:val="15"/>
          <w:rtl w:val="0"/>
        </w:rPr>
        <w:t>, however due to its resource consumption, the net effect on the environment is unclear. However, the speed of adoption remains critical. To prevent infrastructure bottlenecks, the shift toward sustainable data center management must keep pace with the exponential growth of technology [308].</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