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Closing the Assurance Gap</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sz w:val="18"/>
          <w:szCs w:val="18"/>
        </w:rPr>
      </w:pPr>
      <w:r w:rsidDel="00000000" w:rsidR="00000000" w:rsidRPr="00000000">
        <w:rPr>
          <w:rFonts w:ascii="Avenir" w:cs="Avenir" w:eastAsia="Avenir" w:hAnsi="Avenir"/>
          <w:color w:val="3c3f42"/>
          <w:sz w:val="18"/>
          <w:szCs w:val="18"/>
          <w:rtl w:val="0"/>
        </w:rPr>
        <w:t xml:space="preserve">Outpacing Certification Cycles to Secure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AI is changing cybersecurity threats and defenses simultaneously. AI systems can find vulnerabilities, build adaptive attack strategies, and act at machine speed, making human-in-the-loop defense obsolete and highlighting the need for continuously learning AI defenders [173]. This creates a legal problem because certification requires a fixed, verifiable artifact, which is not suitable for certification of a self-adapting system [167]. Existing frameworks handle updates through delta certification and change control plans, assuming a human pre-defines permissible change boundaries [167, 174]. However, because a continuously self-adapting industrial AI cannot pre-specify its behavioral envelope, its model space state shifts with each retraining cycle, meaning the certified artifact and the deployed system are never the same [167, 174]. As AI-on-AI conflict outpaces certification cycles and quantum computing threatens hardware designed to last decades [175, 176], the industry must transition to a paradigm where continuous, real-time assurance replaces static, point-in-time compliance to keep autonomous systems secure [40, 167, 173, 174].</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Manufacturing is the most cyber-attacked sector globally, accounting for 27.7% of incidents in 2025 for the fifth consecutive year [177]</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Conventional safety case methods cannot certify continuously learning ML systems, as the certified artifact and deployed system diverge after each retraining cycle [167].</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National Institute of Standards and Technology (NIST) post-quantum cryptography standards signal that systems built on current encryption face a security architecture crisis within their operational lifespans [175].</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65% of manufacturing executives rank operational risk, including cybersecurity breaches as a top concern as IT and OT convergence expands the attack surface [40, 178]</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Because offensive AI adapts in real time, the speed asymmetry between attackers and certifiable defenders is structurally unbridgeable, with defensive AI relying on pre-approved boundaries that simply cannot be defined against an AI-driven threat landscape [173, 174].</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IT and OT convergence in industrial environments expands the attack surface while increasing breach severity. A failure in one AI-enabled node can cascade across a production ecosystem, making continuous assurance an existential operational necessity [178].</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59"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59"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certification paradox for continuously self-adapting industrial AI has no legal resolution. Delta certification works for bounded, human-initiated changes but fails for systems that autonomously rewrite their behavioral parameters under adversarial pressure, leaving courts and vendors without an accountability construct [167, 173, 174].</w:t>
      </w:r>
    </w:p>
    <w:p w:rsidR="00000000" w:rsidDel="00000000" w:rsidP="00000000" w:rsidRDefault="00000000" w:rsidRPr="00000000" w14:paraId="0000001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59"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Compounding this certification paradox is the risk of geopolitical fragmentation, as multinational vendors may soon face incompatible compliance demands from the EU, US, and China with no international body mandated to resolve them [179].</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59"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certification gap will become one of the defining legal constraints on industrial AI over the next 20 years. Even once new assurance frameworks are legislated, corporations typically require multiple years to integrate new security architectures before certification can begin, meaning regulatory responses routinely arrive after threats have evolved [180, 181]. Vendors building self-adapting industrial AI continuously will face a compounding legal vacuum. Early movers who build continuous assurance architectures combining runtime monitoring, automated anomaly reporting, and post-quantum-ready encryption will gain a durable competitive advantage as these practices transition from best practice to mandatory market-access requirements [175].</w:t>
      </w:r>
    </w:p>
    <w:p w:rsidR="00000000" w:rsidDel="00000000" w:rsidP="00000000" w:rsidRDefault="00000000" w:rsidRPr="00000000" w14:paraId="00000015">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