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REWRITING THE RULES OF WORK</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How AI-driven Displacement Demands New Labor, Tax, and Redistribution Policies</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As AI and automation expand from routine manual work into cognitive tasks, the assumption that labor markets will continue to provide broad access to stable human work is beginning to erode [172, 182]. The </w:t>
      </w:r>
      <w:r w:rsidDel="00000000" w:rsidR="00000000" w:rsidRPr="00000000">
        <w:rPr>
          <w:rFonts w:ascii="Avenir" w:cs="Avenir" w:eastAsia="Avenir" w:hAnsi="Avenir"/>
          <w:color w:val="3c3f42"/>
          <w:sz w:val="15"/>
          <w:szCs w:val="15"/>
          <w:rtl w:val="0"/>
        </w:rPr>
        <w:t xml:space="preserve">W</w:t>
      </w:r>
      <w:r w:rsidDel="00000000" w:rsidR="00000000" w:rsidRPr="00000000">
        <w:rPr>
          <w:rFonts w:ascii="Avenir" w:cs="Avenir" w:eastAsia="Avenir" w:hAnsi="Avenir"/>
          <w:color w:val="3c3f42"/>
          <w:sz w:val="15"/>
          <w:szCs w:val="15"/>
          <w:rtl w:val="0"/>
        </w:rPr>
        <w:t>EF projects that the human share of work tasks will fall from 47% to 33% by 2030, with 82% of this decline driven by automation [92]. This penetration into cognitive work devalues accumulated human skills, compressing wage returns on prior education and training across entire occupational categories [92, 150, 182]. Fewer workers in taxable employment shrink the revenue base funding public pensions and unemployment insurance, while simultaneously increasing demand for social transfers to compensate the displaced [183]. This dual fiscal pressure, combined with the legal obligation of states to guarantee the right to work under Article 23 of the Universal Declaration of Human Rights [184] and national constitutions, such as Germany’s Article 12 Basic Law [185], forces governments to reconsider their policy frameworks</w:t>
      </w:r>
      <w:r w:rsidDel="00000000" w:rsidR="00000000" w:rsidRPr="00000000">
        <w:rPr>
          <w:rFonts w:ascii="Avenir" w:cs="Avenir" w:eastAsia="Avenir" w:hAnsi="Avenir"/>
          <w:color w:val="3c3f42"/>
          <w:sz w:val="15"/>
          <w:szCs w:val="15"/>
          <w:rtl w:val="0"/>
        </w:rPr>
        <w:t>Proposed responses range from AI taxes levied on model providers to redistribute productivity gains to universal basic income transfers, to guarantee meaningful economic participation [172, 182, 186, 187]..</w:t>
      </w: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p>
    <w:p w:rsidR="00000000" w:rsidDel="00000000" w:rsidP="00000000" w:rsidRDefault="00000000" w:rsidRPr="00000000" w14:paraId="0000000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PwC estimates that AI automation could affect 45% of manufacturing jobs in European, North American, and Asian economies in the next decade, disproportionately affecting workers with lower skill levels [188].</w:t>
      </w:r>
      <w:r w:rsidDel="00000000" w:rsidR="00000000" w:rsidRPr="00000000">
        <w:rPr>
          <w:rtl w:val="0"/>
        </w:rPr>
      </w:r>
    </w:p>
    <w:p w:rsidR="00000000" w:rsidDel="00000000" w:rsidP="00000000" w:rsidRDefault="00000000" w:rsidRPr="00000000" w14:paraId="00000008">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11% of workers are projected to be unable to upskill by 2030, facing structural exclusion with no employer-foreseen transition pathway, while a further 41% would need no retraining at all [92].</w:t>
      </w:r>
    </w:p>
    <w:p w:rsidR="00000000" w:rsidDel="00000000" w:rsidP="00000000" w:rsidRDefault="00000000" w:rsidRPr="00000000" w14:paraId="00000009">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Employment-linked taxes account for nearly half of total OECD tax revenues on average, directly funding public pensions, unemployment insurance, and healthcare across member states [183].</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C">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Automation is extending into cognitive tasks previously considered replacement-resistant, while devaluing skills workers have already acquired, making displacement broader and harder to reverse through conventional reskilling [92, 150, 182].</w:t>
      </w:r>
    </w:p>
    <w:p w:rsidR="00000000" w:rsidDel="00000000" w:rsidP="00000000" w:rsidRDefault="00000000" w:rsidRPr="00000000" w14:paraId="0000000D">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Productivity gains from AI concentrate on capital owners and highly skilled workers. Disruption disproportionately affects younger and lower-skilled workers, generating distributional imbalances with direct political pressure [172, 182].</w:t>
      </w:r>
    </w:p>
    <w:p w:rsidR="00000000" w:rsidDel="00000000" w:rsidP="00000000" w:rsidRDefault="00000000" w:rsidRPr="00000000" w14:paraId="0000000E">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As unionization fell from 33.5% in 1954 to 10.1% in 2022 [189], collective bargaining capacity is declin</w:t>
      </w:r>
      <w:r w:rsidDel="00000000" w:rsidR="00000000" w:rsidRPr="00000000">
        <w:rPr>
          <w:rFonts w:ascii="Avenir" w:cs="Avenir" w:eastAsia="Avenir" w:hAnsi="Avenir"/>
          <w:color w:val="3c3f42"/>
          <w:sz w:val="15"/>
          <w:szCs w:val="15"/>
          <w:rtl w:val="0"/>
        </w:rPr>
        <w:t>ing, shifting responsibility for worker protection increasingly towards governments and regulators [190].</w:t>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11">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Taxing automation is difficult as there is no legal consensus on how to define a robot or AI system. Furthermore, these policies require international coordination to prevent trade retaliation and double taxation, and to ensure that early-adopting countries remain competitive [187].</w:t>
      </w:r>
    </w:p>
    <w:p w:rsidR="00000000" w:rsidDel="00000000" w:rsidP="00000000" w:rsidRDefault="00000000" w:rsidRPr="00000000" w14:paraId="00000012">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net employment effects of AI remain sharply contested, as some studies predict substantial displacement while others anticipate net job growth through productivity gains, making it difficult to calibrate the scale of legislative response [92, 191].</w:t>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For industrial AI developers and adopters, this trend creates direct fiscal and political exposure. As governments face shrinking </w:t>
      </w:r>
      <w:r w:rsidDel="00000000" w:rsidR="00000000" w:rsidRPr="00000000">
        <w:rPr>
          <w:rFonts w:ascii="Avenir" w:cs="Avenir" w:eastAsia="Avenir" w:hAnsi="Avenir"/>
          <w:b w:val="1"/>
          <w:bCs w:val="1"/>
          <w:color w:val="3c3f42"/>
          <w:sz w:val="15"/>
          <w:szCs w:val="15"/>
          <w:rtl w:val="0"/>
        </w:rPr>
        <w:t xml:space="preserve">payroll</w:t>
      </w:r>
      <w:r w:rsidDel="00000000" w:rsidR="00000000" w:rsidRPr="00000000">
        <w:rPr>
          <w:rFonts w:ascii="Avenir" w:cs="Avenir" w:eastAsia="Avenir" w:hAnsi="Avenir"/>
          <w:color w:val="3c3f42"/>
          <w:sz w:val="15"/>
          <w:szCs w:val="15"/>
          <w:rtl w:val="0"/>
        </w:rPr>
        <w:t xml:space="preserve"> tax revenues </w:t>
      </w:r>
      <w:r w:rsidDel="00000000" w:rsidR="00000000" w:rsidRPr="00000000">
        <w:rPr>
          <w:rFonts w:ascii="Avenir" w:cs="Avenir" w:eastAsia="Avenir" w:hAnsi="Avenir"/>
          <w:b w:val="1"/>
          <w:bCs w:val="1"/>
          <w:color w:val="3c3f42"/>
          <w:sz w:val="15"/>
          <w:szCs w:val="15"/>
          <w:rtl w:val="0"/>
        </w:rPr>
        <w:t xml:space="preserve">and</w:t>
      </w:r>
      <w:r w:rsidDel="00000000" w:rsidR="00000000" w:rsidRPr="00000000">
        <w:rPr>
          <w:rFonts w:ascii="Avenir" w:cs="Avenir" w:eastAsia="Avenir" w:hAnsi="Avenir"/>
          <w:color w:val="3c3f42"/>
          <w:sz w:val="15"/>
          <w:szCs w:val="15"/>
          <w:rtl w:val="0"/>
        </w:rPr>
        <w:t xml:space="preserve"> rising demand for social transfers [183], they will scrutinize firms driving displacement [187]. Whether AI augments or replaces workers is not technologically </w:t>
      </w:r>
      <w:r w:rsidDel="00000000" w:rsidR="00000000" w:rsidRPr="00000000">
        <w:rPr>
          <w:rFonts w:ascii="Avenir" w:cs="Avenir" w:eastAsia="Avenir" w:hAnsi="Avenir"/>
          <w:b w:val="1"/>
          <w:bCs w:val="1"/>
          <w:color w:val="3c3f42"/>
          <w:sz w:val="15"/>
          <w:szCs w:val="15"/>
          <w:rtl w:val="0"/>
        </w:rPr>
        <w:t xml:space="preserve">predetermined</w:t>
      </w:r>
      <w:r w:rsidDel="00000000" w:rsidR="00000000" w:rsidRPr="00000000">
        <w:rPr>
          <w:rFonts w:ascii="Avenir" w:cs="Avenir" w:eastAsia="Avenir" w:hAnsi="Avenir"/>
          <w:color w:val="3c3f42"/>
          <w:sz w:val="15"/>
          <w:szCs w:val="15"/>
          <w:rtl w:val="0"/>
        </w:rPr>
        <w:t xml:space="preserve"> but shaped by firm-level design choices, making workforce strategy a site of legal and political accountability [192]. Past automation shocks show adjustment burdens fall disproportionately on younger workers and industry-switchers, increasing the </w:t>
      </w:r>
      <w:r w:rsidDel="00000000" w:rsidR="00000000" w:rsidRPr="00000000">
        <w:rPr>
          <w:rFonts w:ascii="Avenir" w:cs="Avenir" w:eastAsia="Avenir" w:hAnsi="Avenir"/>
          <w:b w:val="1"/>
          <w:bCs w:val="1"/>
          <w:color w:val="3c3f42"/>
          <w:sz w:val="15"/>
          <w:szCs w:val="15"/>
          <w:rtl w:val="0"/>
        </w:rPr>
        <w:t xml:space="preserve">risk</w:t>
      </w:r>
      <w:r w:rsidDel="00000000" w:rsidR="00000000" w:rsidRPr="00000000">
        <w:rPr>
          <w:rFonts w:ascii="Avenir" w:cs="Avenir" w:eastAsia="Avenir" w:hAnsi="Avenir"/>
          <w:color w:val="3c3f42"/>
          <w:sz w:val="15"/>
          <w:szCs w:val="15"/>
          <w:rtl w:val="0"/>
        </w:rPr>
        <w:t xml:space="preserve"> of mandatory contribution obligations [193]. Firms designing for human-AI complementarity will be better positioned to assume proactive duties to protect human employment as policy debates transition into binding law [172, 182].</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pwc.com/hu/hu/kiadvanyok/assets/pdf/impact_of_automation_on_jobs.pdf" TargetMode="External"/><Relationship Id="rId7" Type="http://schemas.openxmlformats.org/officeDocument/2006/relationships/hyperlink" Target="https://www.pwc.com/hu/hu/kiadvanyok/assets/pdf/impact_of_automation_on_jobs.pdf" TargetMode="External"/><Relationship Id="rId8" Type="http://schemas.openxmlformats.org/officeDocument/2006/relationships/hyperlink" Target="https://www.congress.gov/crs-product/R475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