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b w:val="1"/>
          <w:bCs w:val="1"/>
          <w:color w:val="5b9bd5"/>
          <w:sz w:val="24"/>
          <w:szCs w:val="24"/>
          <w:rtl w:val="0"/>
        </w:rPr>
        <w:t xml:space="preserve">TOWARD</w:t>
      </w:r>
      <w:r w:rsidDel="00000000" w:rsidR="00000000" w:rsidRPr="00000000">
        <w:rPr>
          <w:rFonts w:ascii="Avenir" w:cs="Avenir" w:eastAsia="Avenir" w:hAnsi="Avenir"/>
          <w:b w:val="1"/>
          <w:bCs w:val="1"/>
          <w:color w:val="5b9bd5"/>
          <w:sz w:val="24"/>
          <w:szCs w:val="24"/>
          <w:rtl w:val="0"/>
        </w:rPr>
        <w:t xml:space="preserve"> GEOPOLITICAL DATA BLOCS</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Diverging Data Governance Regimes Will Fragment Industrial AI Supply Chains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br w:type="textWrapping"/>
        <w:t xml:space="preserve">Amid growing policy discourse about data sovereignty</w:t>
      </w:r>
      <w:r w:rsidDel="00000000" w:rsidR="00000000" w:rsidRPr="00000000">
        <w:rPr>
          <w:rFonts w:ascii="Avenir" w:cs="Avenir" w:eastAsia="Avenir" w:hAnsi="Avenir"/>
          <w:color w:val="3c3f42"/>
          <w:sz w:val="15"/>
          <w:szCs w:val="15"/>
          <w:rtl w:val="0"/>
        </w:rPr>
        <w:t xml:space="preserve">, industrial AI </w:t>
      </w:r>
      <w:r w:rsidDel="00000000" w:rsidR="00000000" w:rsidRPr="00000000">
        <w:rPr>
          <w:rFonts w:ascii="Avenir" w:cs="Avenir" w:eastAsia="Avenir" w:hAnsi="Avenir"/>
          <w:color w:val="3c3f42"/>
          <w:sz w:val="15"/>
          <w:szCs w:val="15"/>
          <w:rtl w:val="0"/>
        </w:rPr>
        <w:t>is increasingly shaped by the legal geography of data [168, 169]</w:t>
      </w:r>
      <w:r w:rsidDel="00000000" w:rsidR="00000000" w:rsidRPr="00000000">
        <w:rPr>
          <w:rFonts w:ascii="Avenir" w:cs="Avenir" w:eastAsia="Avenir" w:hAnsi="Avenir"/>
          <w:color w:val="3c3f42"/>
          <w:sz w:val="15"/>
          <w:szCs w:val="15"/>
          <w:rtl w:val="0"/>
        </w:rPr>
        <w:t xml:space="preserve"> Digital neo-protectionism is predicted to become a defining trade conflict of the 21st century [168] and the EU has positioned data governance as an instrument of strategic autonomy, seeking to reduce dependency on external actors through independent data spaces [169]..</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Yet the implementation reality remains heterogeneous. Globally, where third countries adopt EU rules nominally but implement them divergently, the resulting patchwork is harder to navigate for industrial AI developers than transparent differences would be [194, 195]. Within the EU itself, contradictory interpretations across member states create legal uncertainty that delays AI deployment and disadvantages smaller firms [196]. Existing trade frameworks introduce a further fragmentation risk: should regulators classify pretrained models as data transfers, cross-border deployment of industrial AI could be curtailed by localization rules that </w:t>
      </w:r>
      <w:r w:rsidDel="00000000" w:rsidR="00000000" w:rsidRPr="00000000">
        <w:rPr>
          <w:rFonts w:ascii="Avenir" w:cs="Avenir" w:eastAsia="Avenir" w:hAnsi="Avenir"/>
          <w:color w:val="3c3f42"/>
          <w:sz w:val="15"/>
          <w:szCs w:val="15"/>
          <w:rtl w:val="0"/>
        </w:rPr>
        <w:t xml:space="preserve">existing policies were not designed to govern, </w:t>
      </w:r>
      <w:r w:rsidDel="00000000" w:rsidR="00000000" w:rsidRPr="00000000">
        <w:rPr>
          <w:rFonts w:ascii="Avenir" w:cs="Avenir" w:eastAsia="Avenir" w:hAnsi="Avenir"/>
          <w:color w:val="3c3f42"/>
          <w:sz w:val="15"/>
          <w:szCs w:val="15"/>
          <w:rtl w:val="0"/>
        </w:rPr>
        <w:t>accelerating fragmentation into incompatible data blocs [197, 198]</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highlight w:val="yellow"/>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7">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number of data localization measures worldwide more than doubled between 2017 and 2021, rising from 67 to 144 across 62 countries, with the most restrictive regimes in China, India, Russia, and Turkey [199].</w:t>
      </w:r>
    </w:p>
    <w:p w:rsidR="00000000" w:rsidDel="00000000" w:rsidP="00000000" w:rsidRDefault="00000000" w:rsidRPr="00000000" w14:paraId="00000008">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434343"/>
          <w:sz w:val="15"/>
          <w:szCs w:val="15"/>
        </w:rPr>
      </w:pPr>
      <w:r w:rsidDel="00000000" w:rsidR="00000000" w:rsidRPr="00000000">
        <w:rPr>
          <w:rFonts w:ascii="Avenir" w:cs="Avenir" w:eastAsia="Avenir" w:hAnsi="Avenir"/>
          <w:color w:val="434343"/>
          <w:sz w:val="15"/>
          <w:szCs w:val="15"/>
          <w:rtl w:val="0"/>
        </w:rPr>
        <w:t>In 2024, the EU ran a digital services trade deficit of approximately 139B EUR with the United States alone, concentrated in categories like cloud infrastructure, software, and platform licensing [200, 201].</w:t>
      </w:r>
    </w:p>
    <w:p w:rsidR="00000000" w:rsidDel="00000000" w:rsidP="00000000" w:rsidRDefault="00000000" w:rsidRPr="00000000" w14:paraId="00000009">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434343"/>
          <w:sz w:val="15"/>
          <w:szCs w:val="15"/>
          <w:u w:val="none"/>
        </w:rPr>
      </w:pPr>
      <w:r w:rsidDel="00000000" w:rsidR="00000000" w:rsidRPr="00000000">
        <w:rPr>
          <w:rFonts w:ascii="Avenir" w:cs="Avenir" w:eastAsia="Avenir" w:hAnsi="Avenir"/>
          <w:color w:val="434343"/>
          <w:sz w:val="15"/>
          <w:szCs w:val="15"/>
          <w:rtl w:val="0"/>
        </w:rPr>
        <w:t>In 2025, liberalization occurred across insurance, financial services, and logistics, while restrictions on cross-border data flows continued to increase, particularly in Europe and the Asia-Pacific region [202].</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a3a3a"/>
          <w:sz w:val="15"/>
          <w:szCs w:val="15"/>
          <w:vertAlign w:val="superscript"/>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C">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434343"/>
          <w:sz w:val="15"/>
          <w:szCs w:val="15"/>
          <w:rtl w:val="0"/>
        </w:rPr>
        <w:t>Geopolitical tensions and supply chain disruptions have reframed data control as a matter of strategic security, accelerating the adoption of localization measures as instruments of digital industrial policy [168, 202].</w:t>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434343"/>
          <w:sz w:val="15"/>
          <w:szCs w:val="15"/>
          <w:rtl w:val="0"/>
        </w:rPr>
        <w:t>The EU Data Act mandates sharing of raw IoT data between manufacturers and users [203], but excludes inferred and derived data from these obligations [204], creating a legal vacuum that companies may fill through technical enclosure [205].</w:t>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EU's GDPR and India's DPDP Act govern personal data but misalign on lawful processing bases, consent models, and automated decision-making rights, complicating compliance for cross-border industrial AI systems [206].</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rPr>
          <w:rFonts w:ascii="Avenir" w:cs="Avenir" w:eastAsia="Avenir" w:hAnsi="Avenir"/>
          <w:color w:val="3a3a3a"/>
          <w:sz w:val="15"/>
          <w:szCs w:val="15"/>
          <w:vertAlign w:val="superscript"/>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11">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A 2025 OECD-WTO analysis estimates that full fragmentation of cross-border data flows would reduce global GDP by 4.5% and exports by 8.5% [207].</w:t>
      </w:r>
    </w:p>
    <w:p w:rsidR="00000000" w:rsidDel="00000000" w:rsidP="00000000" w:rsidRDefault="00000000" w:rsidRPr="00000000" w14:paraId="00000012">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Over 80% of Europe's digital services and products are imported, and 92% of the EU's data is stored on US-based cloud servers [208].</w:t>
      </w:r>
    </w:p>
    <w:p w:rsidR="00000000" w:rsidDel="00000000" w:rsidP="00000000" w:rsidRDefault="00000000" w:rsidRPr="00000000" w14:paraId="00000013">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Despite data protection measures like federated learning, vulnerabilities such as gradient inversion attacks can lead to reconstruction of sensitive or proprietary training data, meaning industrial data can effectively leak across borders without any raw data being explicitly transferred [209]. </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6">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Regulatory fragmentation directly constrains the diversity of data, which industrial AI models require [210]. Foundation models for manufacturing, energy, and logistics depend on training data from multiple jurisdictions, but overlapping national regulations and conflicting export rules restrict cross-border access [169, 194, 211]. Where models are treated as compressed representations of their training data, localization mandates may extend not only to sensor inputs but to the model itself [197], while inferred and derived data remain outside existing access frameworks [204]. The resulting barriers concentrate advantage with platform operators that can absorb compliance costs across jurisdictions, while smaller industrial firms face disproportionate friction in training and deploying AI across borders [168, 205].</w:t>
      </w:r>
    </w:p>
    <w:p w:rsidR="00000000" w:rsidDel="00000000" w:rsidP="00000000" w:rsidRDefault="00000000" w:rsidRPr="00000000" w14:paraId="00000017">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ecipe.org/publications/openness-strength-eu-us-digital-services-trade/" TargetMode="External"/><Relationship Id="rId10" Type="http://schemas.openxmlformats.org/officeDocument/2006/relationships/hyperlink" Target="https://unu.edu/publication/regulating-cross-border-data-flows-harnessing-safe-data-sharing-global-and-inclusive" TargetMode="External"/><Relationship Id="rId9" Type="http://schemas.openxmlformats.org/officeDocument/2006/relationships/hyperlink" Target="https://inplp.com/latest-news/article/how-does-indias-new-privacy-law-compare-to-gdpr/" TargetMode="External"/><Relationship Id="rId5" Type="http://schemas.openxmlformats.org/officeDocument/2006/relationships/styles" Target="styles.xml"/><Relationship Id="rId6" Type="http://schemas.openxmlformats.org/officeDocument/2006/relationships/hyperlink" Target="http://data.europa.eu/eli/reg/2023/2854/oj" TargetMode="External"/><Relationship Id="rId7" Type="http://schemas.openxmlformats.org/officeDocument/2006/relationships/hyperlink" Target="https://eur-lex.europa.eu/legal-content/EN/TXT/?uri=CELEX:52020DC0066" TargetMode="External"/><Relationship Id="rId8" Type="http://schemas.openxmlformats.org/officeDocument/2006/relationships/hyperlink" Target="https://ec.europa.eu/eurostat/web/products-eurostat-news/w/ddn-202512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