
<file path=[Content_Types].xml><?xml version="1.0" encoding="utf-8"?>
<Types xmlns="http://schemas.openxmlformats.org/package/2006/content-types">
  <Default Extension="rels" ContentType="application/vnd.openxmlformats-package.relationships+xml"/>
  <Default Extension="xml" ContentType="application/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5b9bd5"/>
          <w:sz w:val="24"/>
          <w:szCs w:val="24"/>
          <w:rtl w:val="0"/>
        </w:rPr>
        <w:t xml:space="preserve">Establishing the AI Compliance Playbook</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How Standard-Setting Today Will Define Industrial AI Compliance for Decades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The EU AI Act classifies industrial AI systems covering robotics, autonomous machinery, and predictive maintenance as high-risk, requiring conformity assessments, human oversight, and auditable documentation [170]. Under the revised Product Liability Directive, AI software is now explicitly a product subject to strict liability, shifting the legal burden to the provider [212]. Yet regulators demand transparency that developers resist to protect commercial interests, creating a paradox that no current standard resolves [213, 214]. No sector-specific rules define what safe deployment of autonomous industrial systems requires, and the harmonized standards needed for a clear compliance pathway are delayed until late 2026 at the earliest [215]. Legislators delegate technical specifications to private standardization bodies where large technology firms already hold disproportionate influence [215, 216]. As industrial AI scales over the next 10-20 years, these voluntary standards will solidify into binding legal infrastructure, meaning the firms shaping specifications now are pre-defining liability for AI-caused harm long before legislators catch up [216, 217].</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7">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The EU AI Act requires conformity assessments for high-risk industrial AI, yet the harmonized standards needed to claim presumption of conformity are delayed until late 2026, leaving providers without a clear compliance pathway [170, 215]</w:t>
      </w:r>
      <w:r w:rsidDel="00000000" w:rsidR="00000000" w:rsidRPr="00000000">
        <w:rPr>
          <w:rFonts w:ascii="Avenir" w:cs="Avenir" w:eastAsia="Avenir" w:hAnsi="Avenir"/>
          <w:color w:val="3a3a3a"/>
          <w:sz w:val="15"/>
          <w:szCs w:val="15"/>
          <w:rtl w:val="0"/>
        </w:rPr>
        <w:t>.</w:t>
      </w:r>
    </w:p>
    <w:p w:rsidR="00000000" w:rsidDel="00000000" w:rsidP="00000000" w:rsidRDefault="00000000" w:rsidRPr="00000000" w14:paraId="00000008">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a3a3a"/>
          <w:sz w:val="15"/>
          <w:szCs w:val="15"/>
          <w:u w:val="none"/>
        </w:rPr>
      </w:pPr>
      <w:r w:rsidDel="00000000" w:rsidR="00000000" w:rsidRPr="00000000">
        <w:rPr>
          <w:rFonts w:ascii="Avenir" w:cs="Avenir" w:eastAsia="Avenir" w:hAnsi="Avenir"/>
          <w:color w:val="3a3a3a"/>
          <w:sz w:val="15"/>
          <w:szCs w:val="15"/>
          <w:rtl w:val="0"/>
        </w:rPr>
        <w:t xml:space="preserve">In late 2025, the prEN 18286 standard entered public inquiry as the first draft AI Act standard, demonstrating that voluntary, industry‑driven standards are already crystallizing today’s compliance baseline </w:t>
      </w:r>
      <w:r w:rsidDel="00000000" w:rsidR="00000000" w:rsidRPr="00000000">
        <w:rPr>
          <w:rFonts w:ascii="Avenir" w:cs="Avenir" w:eastAsia="Avenir" w:hAnsi="Avenir"/>
          <w:color w:val="3c3f42"/>
          <w:sz w:val="15"/>
          <w:szCs w:val="15"/>
          <w:rtl w:val="0"/>
        </w:rPr>
        <w:t>[170, 215]</w:t>
      </w:r>
      <w:r w:rsidDel="00000000" w:rsidR="00000000" w:rsidRPr="00000000">
        <w:rPr>
          <w:rFonts w:ascii="Avenir" w:cs="Avenir" w:eastAsia="Avenir" w:hAnsi="Avenir"/>
          <w:color w:val="3a3a3a"/>
          <w:sz w:val="15"/>
          <w:szCs w:val="15"/>
          <w:rtl w:val="0"/>
        </w:rPr>
        <w:t xml:space="preserve">. </w:t>
      </w:r>
      <w:r w:rsidDel="00000000" w:rsidR="00000000" w:rsidRPr="00000000">
        <w:rPr>
          <w:rtl w:val="0"/>
        </w:rPr>
      </w:r>
    </w:p>
    <w:p w:rsidR="00000000" w:rsidDel="00000000" w:rsidP="00000000" w:rsidRDefault="00000000" w:rsidRPr="00000000" w14:paraId="00000009">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A Corporate Europe Observatory investigation found large technology firms leading standardization delegations without disclosing affiliations, raising concerns about industry capture of AI standard-setting [216].</w:t>
      </w: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a3a3a"/>
          <w:sz w:val="15"/>
          <w:szCs w:val="15"/>
          <w:vertAlign w:val="superscript"/>
        </w:rPr>
      </w:pPr>
      <w:r w:rsidDel="00000000" w:rsidR="00000000" w:rsidRPr="00000000">
        <w:rPr>
          <w:rFonts w:ascii="Avenir" w:cs="Avenir" w:eastAsia="Avenir" w:hAnsi="Avenir"/>
          <w:b w:val="1"/>
          <w:bCs w:val="1"/>
          <w:color w:val="024ea2"/>
          <w:sz w:val="15"/>
          <w:szCs w:val="15"/>
          <w:rtl w:val="0"/>
        </w:rPr>
        <w:t xml:space="preserve">Key Drivers:</w:t>
      </w:r>
      <w:r w:rsidDel="00000000" w:rsidR="00000000" w:rsidRPr="00000000">
        <w:rPr>
          <w:rtl w:val="0"/>
        </w:rPr>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AI deployment in safety-critical environments creates harm scenarios that voluntary ethics frameworks cannot address, making binding regulation unavoidable [217, 218].</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The opacity of AI systems creates a structural evidentiary barrier that fault-based tort law cannot resolve without reform, driving momentum to place primary liability on developers [219].</w:t>
      </w:r>
      <w:r w:rsidDel="00000000" w:rsidR="00000000" w:rsidRPr="00000000">
        <w:rPr>
          <w:rtl w:val="0"/>
        </w:rPr>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The EU AI Act's extraterritorial reach creates global compliance obligations covering the entire system lifecycle, aligning with mandates emerging across major jurisdictions [217, 218].</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Challenges:</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The unresolved tension between legally mandated interpretability and commercially driven secrecy makes formal standardization indispensable [213, 214], since voluntary principles and guidelines alone cannot bridge the documented gap between high‑level ethics and actual AI practice [103].</w:t>
      </w:r>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Small and Medium-sized Enterprises (SMEs) face disproportionate market exclusion. Large firms allocate up to three times more of their AI budgets to compliance, enabling them to navigate costlier alternative pathways that smaller providers cannot afford [215, 220].</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5">
      <w:pPr>
        <w:pBdr>
          <w:top w:color="000000" w:space="0" w:sz="0" w:val="none"/>
          <w:left w:color="000000" w:space="0" w:sz="0" w:val="none"/>
          <w:bottom w:color="000000" w:space="0" w:sz="8" w:val="singl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a3a3a"/>
          <w:sz w:val="15"/>
          <w:szCs w:val="15"/>
          <w:rtl w:val="0"/>
        </w:rPr>
        <w:t>Industrial AI companies that do not engage in standard-setting will be assessed against criteria written by large competitors. Systems once deployed as black boxes must now carry auditable documentation across their full lifecycle [170]. The absence of sector-specific industrial rules leaves the compliance baseline open for dominant standard-setters to define. As liability frameworks for AI-caused harm mature over the coming decades, the technical baseline being written today will determine the evidentiary standard against which industrial harm is judged, creating a durable structural advantage for early movers [215, 219].</w:t>
      </w: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8" w:val="single"/>
          <w:right w:color="000000" w:space="0" w:sz="0" w:val="none"/>
          <w:between w:color="000000" w:space="0" w:sz="0" w:val="none"/>
        </w:pBdr>
        <w:spacing w:line="240" w:lineRule="auto"/>
        <w:jc w:val="both"/>
        <w:rPr>
          <w:rFonts w:ascii="Avenir" w:cs="Avenir" w:eastAsia="Avenir" w:hAnsi="Avenir"/>
          <w:color w:val="3a3a3a"/>
          <w:sz w:val="15"/>
          <w:szCs w:val="15"/>
          <w:vertAlign w:val="superscript"/>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Krrish Agarwalla" w:id="0" w:date="2026-03-31T11:20:02Z">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never cited.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