
<file path=[Content_Types].xml><?xml version="1.0" encoding="utf-8"?>
<Types xmlns="http://schemas.openxmlformats.org/package/2006/content-types">
  <Default Extension="rels" ContentType="application/vnd.openxmlformats-package.relationships+xml"/>
  <Default Extension="xml" ContentType="application/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Fonts w:ascii="Avenir" w:cs="Avenir" w:eastAsia="Avenir" w:hAnsi="Avenir"/>
          <w:b w:val="1"/>
          <w:bCs w:val="1"/>
          <w:color w:val="5b9bd5"/>
          <w:sz w:val="24"/>
          <w:szCs w:val="24"/>
          <w:rtl w:val="0"/>
        </w:rPr>
        <w:t xml:space="preserve">Eroding Human Rights Enforcement</w:t>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8"/>
          <w:szCs w:val="18"/>
        </w:rPr>
      </w:pPr>
      <w:r w:rsidDel="00000000" w:rsidR="00000000" w:rsidRPr="00000000">
        <w:rPr>
          <w:rFonts w:ascii="Avenir" w:cs="Avenir" w:eastAsia="Avenir" w:hAnsi="Avenir"/>
          <w:color w:val="3c3f42"/>
          <w:sz w:val="18"/>
          <w:szCs w:val="18"/>
          <w:rtl w:val="0"/>
        </w:rPr>
        <w:t xml:space="preserve">As AI Replaces Human Agents, Rights Enforcement Erodes Structurally</w:t>
      </w:r>
      <w:r w:rsidDel="00000000" w:rsidR="00000000" w:rsidRPr="00000000">
        <w:rPr>
          <w:rtl w:val="0"/>
        </w:rPr>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AI has shifted from experimental technology to critical national infrastructure, driven by geopolitical rivalry between the US, China, and the EU and </w:t>
      </w:r>
      <w:r w:rsidDel="00000000" w:rsidR="00000000" w:rsidRPr="00000000">
        <w:rPr>
          <w:rFonts w:ascii="Avenir" w:cs="Avenir" w:eastAsia="Avenir" w:hAnsi="Avenir"/>
          <w:color w:val="3c3f42"/>
          <w:sz w:val="15"/>
          <w:szCs w:val="15"/>
          <w:rtl w:val="0"/>
        </w:rPr>
        <w:t>formalized in instruments such as the EU AI Act and the Council of Europe's Framework Convention on AI [221, 222]</w:t>
      </w:r>
      <w:r w:rsidDel="00000000" w:rsidR="00000000" w:rsidRPr="00000000">
        <w:rPr>
          <w:rFonts w:ascii="Avenir" w:cs="Avenir" w:eastAsia="Avenir" w:hAnsi="Avenir"/>
          <w:b w:val="1"/>
          <w:bCs w:val="1"/>
          <w:color w:val="3c3f42"/>
          <w:sz w:val="15"/>
          <w:szCs w:val="15"/>
          <w:rtl w:val="0"/>
        </w:rPr>
      </w:r>
      <w:r w:rsidDel="00000000" w:rsidR="00000000" w:rsidRPr="00000000">
        <w:rPr>
          <w:rFonts w:ascii="Avenir" w:cs="Avenir" w:eastAsia="Avenir" w:hAnsi="Avenir"/>
          <w:color w:val="3c3f42"/>
          <w:sz w:val="15"/>
          <w:szCs w:val="15"/>
          <w:rtl w:val="0"/>
        </w:rPr>
        <w:t>. As critical infrastructure, it gets built into the decisions societies depend on most: healthcare, welfare, criminal sentencing, and hiring. What differs from earlier automation is that industrial AI displaces human judgment in high-stakes decisions previously resistant to algorithmic substitution [171, 223]. The EU AI Act now mandates human oversight as a binding design requirement for high-risk systems, yet the scope and enforceability of this obligation remain contested [224]. This displacement marks the point at which human rights law begins to erode. Its enforcement rests on three premises: a human agent made the decision, that agent can be held to account, and harm attaches to a person whose dignity gives rise to a legal claim [166, 225]. When industrial AI makes the decision, all three fail at once. Rights persist in law, while the mechanisms for claiming them cease to function [166, 223]. The more embedded industrial AI becomes, the more this failure will compound.</w:t>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Facts</w:t>
      </w:r>
    </w:p>
    <w:p w:rsidR="00000000" w:rsidDel="00000000" w:rsidP="00000000" w:rsidRDefault="00000000" w:rsidRPr="00000000" w14:paraId="00000007">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The EU AI Act and the Council of Europe's Framework Convention on AI are the first binding instruments addressing AI's threat to rights, but do not resolve cases where no human decision-maker is present [221].</w:t>
      </w:r>
      <w:r w:rsidDel="00000000" w:rsidR="00000000" w:rsidRPr="00000000">
        <w:rPr>
          <w:rtl w:val="0"/>
        </w:rPr>
      </w:r>
    </w:p>
    <w:p w:rsidR="00000000" w:rsidDel="00000000" w:rsidP="00000000" w:rsidRDefault="00000000" w:rsidRPr="00000000" w14:paraId="00000008">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A 2024 study documents AI's erosion at three levels: inability to seek accountability, unraveling of rights justifications, and degradation of human dignity as a legal concept [223].</w:t>
      </w:r>
    </w:p>
    <w:p w:rsidR="00000000" w:rsidDel="00000000" w:rsidP="00000000" w:rsidRDefault="00000000" w:rsidRPr="00000000" w14:paraId="00000009">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Algorithmic decisions on recidivism and welfare cause due-process failures, as decision logic is opaque and non-contestable [171].</w:t>
      </w:r>
    </w:p>
    <w:p w:rsidR="00000000" w:rsidDel="00000000" w:rsidP="00000000" w:rsidRDefault="00000000" w:rsidRPr="00000000" w14:paraId="0000000A">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UNESCO, whose Recommendation on AI Ethics applies to all 194 member states, identifies AI displacing human responsibility as a systemic risk [226].</w:t>
        <w:br/>
      </w:r>
    </w:p>
    <w:p w:rsidR="00000000" w:rsidDel="00000000" w:rsidP="00000000" w:rsidRDefault="00000000" w:rsidRPr="00000000" w14:paraId="0000000B">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Key Drivers</w:t>
      </w:r>
      <w:r w:rsidDel="00000000" w:rsidR="00000000" w:rsidRPr="00000000">
        <w:rPr>
          <w:rtl w:val="0"/>
        </w:rPr>
      </w:r>
    </w:p>
    <w:p w:rsidR="00000000" w:rsidDel="00000000" w:rsidP="00000000" w:rsidRDefault="00000000" w:rsidRPr="00000000" w14:paraId="0000000C">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Geopolitical competition incentivizes states and corporations to deploy autonomous systems in public services before accountability frameworks adapt [171, 221, 222]</w:t>
      </w:r>
      <w:r w:rsidDel="00000000" w:rsidR="00000000" w:rsidRPr="00000000">
        <w:rPr>
          <w:rFonts w:ascii="Avenir" w:cs="Avenir" w:eastAsia="Avenir" w:hAnsi="Avenir"/>
          <w:b w:val="1"/>
          <w:bCs w:val="1"/>
          <w:color w:val="3c3f42"/>
          <w:sz w:val="15"/>
          <w:szCs w:val="15"/>
          <w:rtl w:val="0"/>
        </w:rPr>
      </w:r>
      <w:r w:rsidDel="00000000" w:rsidR="00000000" w:rsidRPr="00000000">
        <w:rPr>
          <w:rFonts w:ascii="Avenir" w:cs="Avenir" w:eastAsia="Avenir" w:hAnsi="Avenir"/>
          <w:color w:val="3c3f42"/>
          <w:sz w:val="15"/>
          <w:szCs w:val="15"/>
          <w:rtl w:val="0"/>
        </w:rPr>
        <w:t>.</w:t>
      </w:r>
      <w:r w:rsidDel="00000000" w:rsidR="00000000" w:rsidRPr="00000000">
        <w:rPr>
          <w:rtl w:val="0"/>
        </w:rPr>
      </w:r>
    </w:p>
    <w:p w:rsidR="00000000" w:rsidDel="00000000" w:rsidP="00000000" w:rsidRDefault="00000000" w:rsidRPr="00000000" w14:paraId="0000000D">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The fundamental mismatch between legacy legal frameworks designed for human actors and the autonomy of modern systems actively drives accountability failures when harm occurs across borders [166, 225].</w:t>
      </w:r>
      <w:r w:rsidDel="00000000" w:rsidR="00000000" w:rsidRPr="00000000">
        <w:rPr>
          <w:rtl w:val="0"/>
        </w:rPr>
      </w:r>
    </w:p>
    <w:p w:rsidR="00000000" w:rsidDel="00000000" w:rsidP="00000000" w:rsidRDefault="00000000" w:rsidRPr="00000000" w14:paraId="0000000E">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Furthermore, the structural lag in regulatory adaptation grants technology companies a first-mover advantage, allowing them to embed autonomous systems into critical infrastructure long before legal constraints are established [171].</w:t>
      </w:r>
    </w:p>
    <w:p w:rsidR="00000000" w:rsidDel="00000000" w:rsidP="00000000" w:rsidRDefault="00000000" w:rsidRPr="00000000" w14:paraId="0000000F">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vertAlign w:val="superscript"/>
        </w:rPr>
      </w:pPr>
      <w:r w:rsidDel="00000000" w:rsidR="00000000" w:rsidRPr="00000000">
        <w:rPr>
          <w:rtl w:val="0"/>
        </w:rPr>
      </w:r>
    </w:p>
    <w:p w:rsidR="00000000" w:rsidDel="00000000" w:rsidP="00000000" w:rsidRDefault="00000000" w:rsidRPr="00000000" w14:paraId="00000010">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Challenges</w:t>
      </w:r>
    </w:p>
    <w:p w:rsidR="00000000" w:rsidDel="00000000" w:rsidP="00000000" w:rsidRDefault="00000000" w:rsidRPr="00000000" w14:paraId="00000011">
      <w:pPr>
        <w:numPr>
          <w:ilvl w:val="0"/>
          <w:numId w:val="1"/>
        </w:numPr>
        <w:pBdr>
          <w:top w:color="000000" w:space="0" w:sz="0" w:val="none"/>
          <w:left w:color="000000" w:space="0" w:sz="0" w:val="none"/>
          <w:bottom w:color="000000" w:space="1"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Human rights law has historically demonstrated the capacity to evolve in response to new technological realities. Its combination of legal remedies, moral justification, and political practice may generate adaptive responses that partially offset the accountability erosion this trend describes [171].</w:t>
      </w:r>
      <w:r w:rsidDel="00000000" w:rsidR="00000000" w:rsidRPr="00000000">
        <w:rPr>
          <w:rtl w:val="0"/>
        </w:rPr>
      </w:r>
    </w:p>
    <w:p w:rsidR="00000000" w:rsidDel="00000000" w:rsidP="00000000" w:rsidRDefault="00000000" w:rsidRPr="00000000" w14:paraId="00000012">
      <w:pPr>
        <w:numPr>
          <w:ilvl w:val="0"/>
          <w:numId w:val="1"/>
        </w:numPr>
        <w:pBdr>
          <w:top w:color="000000" w:space="0" w:sz="0" w:val="none"/>
          <w:left w:color="000000" w:space="0" w:sz="0" w:val="none"/>
          <w:bottom w:color="000000" w:space="1"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The concurrent emergence of the EU AI Act, the Council of Europe Framework Convention, and the UNESCO recommendation signals active institutional resistance to unchecked human displacement, which could slow the trend before it becomes structurally irreversible [221, 226].</w:t>
      </w:r>
    </w:p>
    <w:p w:rsidR="00000000" w:rsidDel="00000000" w:rsidP="00000000" w:rsidRDefault="00000000" w:rsidRPr="00000000" w14:paraId="0000001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14">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color w:val="3c3f42"/>
          <w:sz w:val="15"/>
          <w:szCs w:val="15"/>
        </w:rPr>
      </w:pPr>
      <w:r w:rsidDel="00000000" w:rsidR="00000000" w:rsidRPr="00000000">
        <w:rPr>
          <w:rFonts w:ascii="Avenir" w:cs="Avenir" w:eastAsia="Avenir" w:hAnsi="Avenir"/>
          <w:b w:val="1"/>
          <w:bCs w:val="1"/>
          <w:color w:val="024ea2"/>
          <w:sz w:val="15"/>
          <w:szCs w:val="15"/>
          <w:rtl w:val="0"/>
        </w:rPr>
        <w:t xml:space="preserve">Impact on Industrial AI</w:t>
      </w:r>
      <w:r w:rsidDel="00000000" w:rsidR="00000000" w:rsidRPr="00000000">
        <w:rPr>
          <w:rtl w:val="0"/>
        </w:rPr>
      </w:r>
    </w:p>
    <w:p w:rsidR="00000000" w:rsidDel="00000000" w:rsidP="00000000" w:rsidRDefault="00000000" w:rsidRPr="00000000" w14:paraId="0000001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For industrial AI operations, especially in high-stakes domains, explainability and human oversight will move from optional ethical features to mandatory architectural requirements [170]. This will differentiate the industry: regulated sectors such as healthcare, justice, and welfare will require fundamentally different governance architectures than consumer applications, concentrating development among actors able to absorb massive compliance costs [170, 221]. The accountability vacuum also creates conditions for a new legal category in which autonomous systems carry assigned liability, reshaping corporate liability frameworks across jurisdictions over the next two decades [166, 223].</w:t>
      </w:r>
    </w:p>
    <w:p w:rsidR="00000000" w:rsidDel="00000000" w:rsidP="00000000" w:rsidRDefault="00000000" w:rsidRPr="00000000" w14:paraId="00000016">
      <w:pPr>
        <w:pBdr>
          <w:top w:color="000000" w:space="0" w:sz="0" w:val="none"/>
          <w:left w:color="000000" w:space="0" w:sz="0" w:val="none"/>
          <w:bottom w:color="000000" w:space="0" w:sz="4" w:val="singl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17">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sectPr>
      <w:pgSz w:h="15840" w:w="12240"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Josefine Jacobs" w:id="0" w:date="2026-03-31T13:20:04Z">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Added this source, please check</w:t>
      </w:r>
    </w:p>
  </w:comment>
  <w:comment w:author="Lucas Li" w:id="1" w:date="2026-03-31T13:43:08Z">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@ali.karakullukcu@cdtm.com you on this?</w:t>
      </w:r>
    </w:p>
  </w:comment>
  <w:comment w:author="Ali Karakullukcu" w:id="2" w:date="2026-03-31T13:44:25Z">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yess I was actually adding the same ref, but saw it changed good and fast work!</w:t>
      </w:r>
    </w:p>
  </w:comment>
  <w:comment w:author="Ali Karakullukcu" w:id="3" w:date="2026-03-31T13:44:36Z">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Its finished i think</w:t>
      </w:r>
    </w:p>
  </w:comment>
  <w:comment w:author="Lucas Li" w:id="4" w:date="2026-03-31T13:45:56Z">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Agreed, just give me two more minutes for final read and I'll transfer it</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