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Legal Trends on Industrial AI</w:t>
      </w: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8"/>
          <w:szCs w:val="18"/>
          <w:rtl w:val="0"/>
        </w:rPr>
        <w:t xml:space="preserve">Navigating a Legal and Political Minefield</w:t>
      </w: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Across manufacturing, AI is increasingly involved in decisions that affect workers, consumers, and citizens, even though the legal frameworks surrounding those decisions were built for human actors, fixed systems, and clearer chains of responsibility [166]. As automation extends into cognitive and non-routine tasks, with the WEF projecting that the human share of work tasks will fall from 47% to 33% by 2030, legal systems face mounting pressure to address liability, accountability, and rights in contexts they were not designed for [92]. </w:t>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The core challenge is institutional. Legal frameworks depend on identifiable agents, stable artifacts, and bounded jurisdictions [166]. Industrial AI disrupts each of these assumptions. Self-adapting systems cannot be certified once and remain compliant, as their behavior continues to change after deployment [167]. Automated decisions in employment, safety, and welfare may have no clearly attributable human author [166]. Models trained across borders can simultaneously fall under multiple, conflicting data governance regimes [168, 169]. These are not edge cases but standard features of industrial AI operating at scale [166, 167].</w:t>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Regulatory responses are accelerating but remain incomplete. The EU AI Act introduces a risk-based framework covering high-risk industrial applications. Yet key compliance pathways remain undefined, as harmonized technical standards have not yet been published, leaving providers without a clear path to compliance [170]. Meanwhile, data governance is fragmenting along geopolitical lines, with major blocs developing incompatible rules on where data can be stored, transferred, and used [168, 169]. In practice, this makes the legal geography of data a direct constraint on where industrial AI can be built and deployed. Beyond jurisdictional conflicts, human rights, largely designed for decisions attributable to identifiable human actors, are under strain as AI assumes consequential authority across industrial and social domains [166, 171]. Where taxation and welfare systems remain dependent on labor income, the automation of routine and low-skilled work in particular threatens to erode the fiscal base that funds the social protections displaced workers need most [92, 172].</w:t>
      </w:r>
    </w:p>
    <w:p w:rsidR="00000000" w:rsidDel="00000000" w:rsidP="00000000" w:rsidRDefault="00000000" w:rsidRPr="00000000" w14:paraId="0000000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The trends examined in this report are therefore not isolated compliance questions. They reflect a structural condition in which industrial AI is being deployed at a pace and scale that existing legal architecture was not designed to absorb [166, 170]. Liability frameworks built for fixed products, human rights instruments built for identifiable agents, and welfare systems built on taxable labor are all being stress-tested simultaneously [166, 170, 171]. How governments and policymakers respond over the next fifteen years, whether through adaptive regulation, new accountability instruments, or coordinated governance across jurisdictions, will determine not only the legal conditions for industrial AI but the broader terms on which automation and democratic governance coexist [168, 169, 171].</w:t>
      </w:r>
    </w:p>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18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18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18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igital-strategy.ec.europa.eu/en/policies/regulatory-framework-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