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r w:rsidDel="00000000" w:rsidR="00000000" w:rsidRPr="00000000">
        <w:rPr>
          <w:rFonts w:ascii="Avenir" w:cs="Avenir" w:eastAsia="Avenir" w:hAnsi="Avenir"/>
          <w:b w:val="1"/>
          <w:bCs w:val="1"/>
          <w:color w:val="5b9bd5"/>
          <w:sz w:val="24"/>
          <w:szCs w:val="24"/>
          <w:rtl w:val="0"/>
        </w:rPr>
        <w:t xml:space="preserve">RECONFIGURATION OF TRUST ESTABLISHMENT</w:t>
      </w:r>
      <w:r w:rsidDel="00000000" w:rsidR="00000000" w:rsidRPr="00000000">
        <w:rPr>
          <w:rtl w:val="0"/>
        </w:rPr>
      </w:r>
    </w:p>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sz w:val="18"/>
          <w:szCs w:val="18"/>
        </w:rPr>
      </w:pPr>
      <w:r w:rsidDel="00000000" w:rsidR="00000000" w:rsidRPr="00000000">
        <w:rPr>
          <w:rFonts w:ascii="Avenir" w:cs="Avenir" w:eastAsia="Avenir" w:hAnsi="Avenir"/>
          <w:sz w:val="18"/>
          <w:szCs w:val="18"/>
          <w:rtl w:val="0"/>
        </w:rPr>
        <w:t xml:space="preserve">The Driver of Trust will be System Reliability and the Successful Calibration of Human Reliance</w:t>
      </w: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jc w:val="both"/>
        <w:rPr>
          <w:rFonts w:ascii="Avenir" w:cs="Avenir" w:eastAsia="Avenir" w:hAnsi="Avenir"/>
          <w:color w:val="3c3f42"/>
          <w:sz w:val="15"/>
          <w:szCs w:val="15"/>
          <w:vertAlign w:val="superscript"/>
        </w:rPr>
      </w:pPr>
      <w:r w:rsidDel="00000000" w:rsidR="00000000" w:rsidRPr="00000000">
        <w:rPr>
          <w:rFonts w:ascii="Avenir" w:cs="Avenir" w:eastAsia="Avenir" w:hAnsi="Avenir"/>
          <w:color w:val="3c3f42"/>
          <w:sz w:val="15"/>
          <w:szCs w:val="15"/>
          <w:rtl w:val="0"/>
        </w:rPr>
        <w:t>Safe Human-AI collaboration requires adaptive trust calibration to prevent operators from over-trusting or under-using autonomous systems [98]. Scaling AI needs workers’ trust, but that foundation is undermined when worker surveillance and a lack of explainability create an environment of opacity [99].</w:t>
      </w:r>
      <w:r w:rsidDel="00000000" w:rsidR="00000000" w:rsidRPr="00000000">
        <w:rPr>
          <w:rFonts w:ascii="Avenir" w:cs="Avenir" w:eastAsia="Avenir" w:hAnsi="Avenir"/>
          <w:color w:val="3c3f42"/>
          <w:sz w:val="15"/>
          <w:szCs w:val="15"/>
          <w:rtl w:val="0"/>
        </w:rPr>
        <w:t xml:space="preserve"> </w:t>
      </w:r>
      <w:r w:rsidDel="00000000" w:rsidR="00000000" w:rsidRPr="00000000">
        <w:rPr>
          <w:rFonts w:ascii="Avenir" w:cs="Avenir" w:eastAsia="Avenir" w:hAnsi="Avenir"/>
          <w:color w:val="3c3f42"/>
          <w:sz w:val="15"/>
          <w:szCs w:val="15"/>
          <w:rtl w:val="0"/>
        </w:rPr>
        <w:t>The changes required to realize a symbiotic human-AI partnership can have a disruptive impact on the workforce within manufacturing companies [100]. Trust in AI differs significantly from trust in traditional automation due to the AI's ability to simulate human-like intelligence and autonomy [101]. Research indicates that trust in these systems is multidimensional and must be achieved at three levels [84]. Cognitive trust is grounded in the user's rational assessment of the system's competence, reliability, and predictability. Emotional trust arises from the affective bonds formed through anthropomorphic cues (such as human-like design) and responsive behaviors [102]. A third, emerging dimension is institutional trust, reflecting an evaluative orientation toward AI as a regulated system. This is influenced by the granting of legal or institutional status to AI [84].</w:t>
      </w: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Facts</w:t>
      </w: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08">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Trust in AI can be increased by the perceived cognitive and emotional capacity of the systems and decreased by societal-level concerns [84].</w:t>
      </w:r>
      <w:r w:rsidDel="00000000" w:rsidR="00000000" w:rsidRPr="00000000">
        <w:rPr>
          <w:rtl w:val="0"/>
        </w:rPr>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Explainability is one necessary foundation for human trust in AI, but true trust requires connecting high-level ethical principles and practical, technical requirements such as transparency or robustness [103].</w:t>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Fear of algorithmic flagging stifles dialogue [85]</w:t>
      </w:r>
      <w:r w:rsidDel="00000000" w:rsidR="00000000" w:rsidRPr="00000000">
        <w:rPr>
          <w:rFonts w:ascii="Avenir" w:cs="Avenir" w:eastAsia="Avenir" w:hAnsi="Avenir"/>
          <w:color w:val="3c3f42"/>
          <w:sz w:val="15"/>
          <w:szCs w:val="15"/>
          <w:rtl w:val="0"/>
        </w:rPr>
        <w:t xml:space="preserve">, and </w:t>
      </w:r>
      <w:r w:rsidDel="00000000" w:rsidR="00000000" w:rsidRPr="00000000">
        <w:rPr>
          <w:rFonts w:ascii="Avenir" w:cs="Avenir" w:eastAsia="Avenir" w:hAnsi="Avenir"/>
          <w:color w:val="3c3f42"/>
          <w:sz w:val="15"/>
          <w:szCs w:val="15"/>
          <w:rtl w:val="0"/>
        </w:rPr>
        <w:t>AI monitoring can cause greater dissatisfaction and resistance than human supervision [104].</w:t>
      </w:r>
      <w:r w:rsidDel="00000000" w:rsidR="00000000" w:rsidRPr="00000000">
        <w:rPr>
          <w:rFonts w:ascii="Avenir" w:cs="Avenir" w:eastAsia="Avenir" w:hAnsi="Avenir"/>
          <w:color w:val="3c3f42"/>
          <w:sz w:val="15"/>
          <w:szCs w:val="15"/>
          <w:rtl w:val="0"/>
        </w:rPr>
        <w:t xml:space="preserve"> </w:t>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61% of United States (US) adults oppose tracking their movements, while about half reject AI-driven workforce decisions, such as layoffs [105]</w:t>
      </w:r>
      <w:r w:rsidDel="00000000" w:rsidR="00000000" w:rsidRPr="00000000">
        <w:rPr>
          <w:rFonts w:ascii="Avenir" w:cs="Avenir" w:eastAsia="Avenir" w:hAnsi="Avenir"/>
          <w:color w:val="3c3f42"/>
          <w:sz w:val="15"/>
          <w:szCs w:val="15"/>
          <w:rtl w:val="0"/>
        </w:rPr>
        <w:t xml:space="preserve">.</w:t>
      </w: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0D">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0F">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In multi-agent industrial AI systems, trust must be established through a “trust by design” approach, embedding ethical principles such as transparency and accountability [106].</w:t>
      </w:r>
      <w:r w:rsidDel="00000000" w:rsidR="00000000" w:rsidRPr="00000000">
        <w:rPr>
          <w:rtl w:val="0"/>
        </w:rPr>
      </w:r>
    </w:p>
    <w:p w:rsidR="00000000" w:rsidDel="00000000" w:rsidP="00000000" w:rsidRDefault="00000000" w:rsidRPr="00000000" w14:paraId="00000010">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Future workers in industrial sectors must not </w:t>
      </w:r>
      <w:r w:rsidDel="00000000" w:rsidR="00000000" w:rsidRPr="00000000">
        <w:rPr>
          <w:rFonts w:ascii="Avenir" w:cs="Avenir" w:eastAsia="Avenir" w:hAnsi="Avenir"/>
          <w:color w:val="434343"/>
          <w:sz w:val="15"/>
          <w:szCs w:val="15"/>
          <w:rtl w:val="0"/>
        </w:rPr>
        <w:t xml:space="preserve">only</w:t>
      </w:r>
      <w:r w:rsidDel="00000000" w:rsidR="00000000" w:rsidRPr="00000000">
        <w:rPr>
          <w:rFonts w:ascii="Avenir" w:cs="Avenir" w:eastAsia="Avenir" w:hAnsi="Avenir"/>
          <w:color w:val="3c3f42"/>
          <w:sz w:val="15"/>
          <w:szCs w:val="15"/>
          <w:rtl w:val="0"/>
        </w:rPr>
        <w:t xml:space="preserve"> possess high technological literacy but </w:t>
      </w:r>
      <w:r w:rsidDel="00000000" w:rsidR="00000000" w:rsidRPr="00000000">
        <w:rPr>
          <w:rFonts w:ascii="Avenir" w:cs="Avenir" w:eastAsia="Avenir" w:hAnsi="Avenir"/>
          <w:color w:val="3c3f42"/>
          <w:sz w:val="15"/>
          <w:szCs w:val="15"/>
          <w:rtl w:val="0"/>
        </w:rPr>
        <w:t>also a clear understanding of AI and data [92].</w:t>
      </w:r>
      <w:r w:rsidDel="00000000" w:rsidR="00000000" w:rsidRPr="00000000">
        <w:rPr>
          <w:rtl w:val="0"/>
        </w:rPr>
      </w:r>
    </w:p>
    <w:p w:rsidR="00000000" w:rsidDel="00000000" w:rsidP="00000000" w:rsidRDefault="00000000" w:rsidRPr="00000000" w14:paraId="00000011">
      <w:pPr>
        <w:numPr>
          <w:ilvl w:val="0"/>
          <w:numId w:val="1"/>
        </w:num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As a response to privacy concerns, many corporations are deploying privacy-preserving AI techniques. This enables companies to claim they are protecting worker privacy while still exerting control [107].</w:t>
      </w:r>
      <w:r w:rsidDel="00000000" w:rsidR="00000000" w:rsidRPr="00000000">
        <w:rPr>
          <w:rtl w:val="0"/>
        </w:rPr>
      </w:r>
    </w:p>
    <w:p w:rsidR="00000000" w:rsidDel="00000000" w:rsidP="00000000" w:rsidRDefault="00000000" w:rsidRPr="00000000" w14:paraId="00000012">
      <w:pPr>
        <w:pBdr>
          <w:top w:color="000000" w:space="0" w:sz="0" w:val="none"/>
          <w:left w:color="000000" w:space="0" w:sz="0" w:val="none"/>
          <w:bottom w:color="000000" w:space="0" w:sz="0" w:val="none"/>
          <w:right w:color="000000" w:space="0" w:sz="0" w:val="none"/>
          <w:between w:color="000000" w:space="0" w:sz="0" w:val="none"/>
        </w:pBdr>
        <w:spacing w:after="0" w:before="0" w:line="240" w:lineRule="auto"/>
        <w:ind w:left="720" w:firstLine="0"/>
        <w:jc w:val="both"/>
        <w:rPr>
          <w:rFonts w:ascii="Avenir" w:cs="Avenir" w:eastAsia="Avenir" w:hAnsi="Avenir"/>
          <w:color w:val="3c3f42"/>
          <w:sz w:val="15"/>
          <w:szCs w:val="15"/>
          <w:vertAlign w:val="superscript"/>
        </w:rPr>
      </w:pPr>
      <w:r w:rsidDel="00000000" w:rsidR="00000000" w:rsidRPr="00000000">
        <w:rPr>
          <w:rtl w:val="0"/>
        </w:rPr>
      </w:r>
    </w:p>
    <w:p w:rsidR="00000000" w:rsidDel="00000000" w:rsidP="00000000" w:rsidRDefault="00000000" w:rsidRPr="00000000" w14:paraId="00000013">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15">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Seeing an algorithm </w:t>
      </w:r>
      <w:r w:rsidDel="00000000" w:rsidR="00000000" w:rsidRPr="00000000">
        <w:rPr>
          <w:rFonts w:ascii="Avenir" w:cs="Avenir" w:eastAsia="Avenir" w:hAnsi="Avenir"/>
          <w:color w:val="3c3f42"/>
          <w:sz w:val="15"/>
          <w:szCs w:val="15"/>
          <w:rtl w:val="0"/>
        </w:rPr>
        <w:t xml:space="preserve">err</w:t>
      </w:r>
      <w:r w:rsidDel="00000000" w:rsidR="00000000" w:rsidRPr="00000000">
        <w:rPr>
          <w:rFonts w:ascii="Avenir" w:cs="Avenir" w:eastAsia="Avenir" w:hAnsi="Avenir"/>
          <w:color w:val="3c3f42"/>
          <w:sz w:val="15"/>
          <w:szCs w:val="15"/>
          <w:rtl w:val="0"/>
        </w:rPr>
        <w:t>or disproportionately destroys trust compared to human error, even if the AI is more accurate. While explainability aims to bridge this gap, it often highlights flaws in logic, further increasing algorithm aversion [108, 109].</w:t>
      </w:r>
      <w:r w:rsidDel="00000000" w:rsidR="00000000" w:rsidRPr="00000000">
        <w:rPr>
          <w:rtl w:val="0"/>
        </w:rPr>
      </w:r>
    </w:p>
    <w:p w:rsidR="00000000" w:rsidDel="00000000" w:rsidP="00000000" w:rsidRDefault="00000000" w:rsidRPr="00000000" w14:paraId="00000016">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When feeling threatened in their autonomy, workers tend to act with “performative productivity“, as in appeasing the algorithm, which undermines genuine innovation [85].</w:t>
      </w:r>
    </w:p>
    <w:p w:rsidR="00000000" w:rsidDel="00000000" w:rsidP="00000000" w:rsidRDefault="00000000" w:rsidRPr="00000000" w14:paraId="00000017">
      <w:pPr>
        <w:numPr>
          <w:ilvl w:val="0"/>
          <w:numId w:val="4"/>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Trust suffers when algorithmic fallout occurs, which is when biased, automated systems ignore human commands or prioritize speed over fairness, causing severe personal harm and eroding industrial trust [110].</w:t>
      </w:r>
      <w:r w:rsidDel="00000000" w:rsidR="00000000" w:rsidRPr="00000000">
        <w:rPr>
          <w:rtl w:val="0"/>
        </w:rPr>
      </w:r>
    </w:p>
    <w:p w:rsidR="00000000" w:rsidDel="00000000" w:rsidP="00000000" w:rsidRDefault="00000000" w:rsidRPr="00000000" w14:paraId="00000018">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024ea2"/>
          <w:sz w:val="15"/>
          <w:szCs w:val="15"/>
        </w:rPr>
      </w:pPr>
      <w:r w:rsidDel="00000000" w:rsidR="00000000" w:rsidRPr="00000000">
        <w:rPr>
          <w:rtl w:val="0"/>
        </w:rPr>
      </w:r>
    </w:p>
    <w:p w:rsidR="00000000" w:rsidDel="00000000" w:rsidP="00000000" w:rsidRDefault="00000000" w:rsidRPr="00000000" w14:paraId="00000019">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Fonts w:ascii="Avenir" w:cs="Avenir" w:eastAsia="Avenir" w:hAnsi="Avenir"/>
          <w:b w:val="1"/>
          <w:bCs w:val="1"/>
          <w:color w:val="024ea2"/>
          <w:sz w:val="15"/>
          <w:szCs w:val="15"/>
          <w:rtl w:val="0"/>
        </w:rPr>
        <w:t xml:space="preserve">Impact on Industrial AI</w:t>
      </w:r>
      <w:r w:rsidDel="00000000" w:rsidR="00000000" w:rsidRPr="00000000">
        <w:rPr>
          <w:rFonts w:ascii="Avenir" w:cs="Avenir" w:eastAsia="Avenir" w:hAnsi="Avenir"/>
          <w:color w:val="3c3f42"/>
          <w:sz w:val="15"/>
          <w:szCs w:val="15"/>
          <w:rtl w:val="0"/>
        </w:rPr>
        <w:br/>
        <w:t>In a high-trust scenario, autonomous systems are seamlessly embedded in work and social interactions, acting as trusted partners handling complexity while humans provide knowledge and judgment [111]. In a low-trust environment, the industry may stagnate. Resistance behaviors could undermine productivity gains, and the “privacy trap“ will lead to a culture of fear and alienation [110]. Organizations that fail to build trust will find their AI projects stalling under operational stress and human resistance [99]. If AI monitoring is framed as a tool for developmental feedback, resistance is lower. This suggests transparency and worker control are the deciding factors in whether surveillance builds or destroys trust [99].</w:t>
      </w:r>
    </w:p>
    <w:p w:rsidR="00000000" w:rsidDel="00000000" w:rsidP="00000000" w:rsidRDefault="00000000" w:rsidRPr="00000000" w14:paraId="0000001A">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B">
      <w:pPr>
        <w:pBdr>
          <w:top w:color="000000" w:space="0" w:sz="0" w:val="none"/>
          <w:left w:color="000000" w:space="0" w:sz="0" w:val="none"/>
          <w:bottom w:color="000000" w:space="0" w:sz="0" w:val="none"/>
          <w:right w:color="000000" w:space="0" w:sz="0" w:val="none"/>
          <w:between w:color="000000" w:space="0" w:sz="0" w:val="none"/>
        </w:pBdr>
        <w:spacing w:after="0" w:before="0" w:line="240" w:lineRule="auto"/>
        <w:rPr>
          <w:rFonts w:ascii="Avenir" w:cs="Avenir" w:eastAsia="Avenir" w:hAnsi="Avenir"/>
          <w:b w:val="1"/>
          <w:bCs w:val="1"/>
          <w:color w:val="024ea2"/>
          <w:sz w:val="15"/>
          <w:szCs w:val="15"/>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shrm.org/topics-tools/news/employee-relations/ai-surveillance-in-the-workplace-linked-to-employee-resistance" TargetMode="External"/><Relationship Id="rId22" Type="http://schemas.openxmlformats.org/officeDocument/2006/relationships/hyperlink" Target="https://www.humanrightsresearch.org/post/redefining-productivity-in-the-age-of-workplace-surveillance" TargetMode="External"/><Relationship Id="rId21" Type="http://schemas.openxmlformats.org/officeDocument/2006/relationships/hyperlink" Target="https://pubmed.ncbi.nlm.nih.gov/25401381/" TargetMode="External"/><Relationship Id="rId24" Type="http://schemas.openxmlformats.org/officeDocument/2006/relationships/hyperlink" Target="https://www.pewresearch.org/internet/2023/04/20/americans-views-on-use-of-ai-to-monitor-and-evaluate-workers/" TargetMode="External"/><Relationship Id="rId23" Type="http://schemas.openxmlformats.org/officeDocument/2006/relationships/hyperlink" Target="https://www.humanrightsresearch.org/post/redefining-productivity-in-the-age-of-workplace-surveillance"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tijer.org/tijer/papers/TIJER2508070.pdf" TargetMode="External"/><Relationship Id="rId26" Type="http://schemas.openxmlformats.org/officeDocument/2006/relationships/hyperlink" Target="https://www.weforum.org/stories/2025/12/ai-strategic-foresight-future-thinking/" TargetMode="External"/><Relationship Id="rId25" Type="http://schemas.openxmlformats.org/officeDocument/2006/relationships/hyperlink" Target="https://www.weforum.org/stories/2025/12/ai-strategic-foresight-future-thinking/" TargetMode="External"/><Relationship Id="rId5" Type="http://schemas.openxmlformats.org/officeDocument/2006/relationships/styles" Target="styles.xml"/><Relationship Id="rId6" Type="http://schemas.openxmlformats.org/officeDocument/2006/relationships/hyperlink" Target="https://pmc.ncbi.nlm.nih.gov/articles/PMC7034851/" TargetMode="External"/><Relationship Id="rId7" Type="http://schemas.openxmlformats.org/officeDocument/2006/relationships/hyperlink" Target="https://pmc.ncbi.nlm.nih.gov/articles/PMC7034851/" TargetMode="External"/><Relationship Id="rId8" Type="http://schemas.openxmlformats.org/officeDocument/2006/relationships/hyperlink" Target="https://www.researchgate.net/publication/395004286_A_Study_on_the_Impact_of_AI_Monitoring_Tools_on_Employee_Productivity_in_the_IT_Sector" TargetMode="External"/><Relationship Id="rId11" Type="http://schemas.openxmlformats.org/officeDocument/2006/relationships/hyperlink" Target="https://journals.aom.org/doi/10.5465/annals.2018.0057" TargetMode="External"/><Relationship Id="rId10" Type="http://schemas.openxmlformats.org/officeDocument/2006/relationships/hyperlink" Target="https://journals.aom.org/doi/10.5465/annals.2018.0057" TargetMode="External"/><Relationship Id="rId13" Type="http://schemas.openxmlformats.org/officeDocument/2006/relationships/hyperlink" Target="https://doi.org/10.48550/arXiv.2408.05354" TargetMode="External"/><Relationship Id="rId12" Type="http://schemas.openxmlformats.org/officeDocument/2006/relationships/hyperlink" Target="https://www.mdpi.com/2078-2489/17/2/212" TargetMode="External"/><Relationship Id="rId15" Type="http://schemas.openxmlformats.org/officeDocument/2006/relationships/hyperlink" Target="https://www.sciencedirect.com/science/article/pii/S0747563222003594" TargetMode="External"/><Relationship Id="rId14" Type="http://schemas.openxmlformats.org/officeDocument/2006/relationships/hyperlink" Target="https://www.sciencedirect.com/science/article/pii/S1566253523001148" TargetMode="External"/><Relationship Id="rId17" Type="http://schemas.openxmlformats.org/officeDocument/2006/relationships/hyperlink" Target="https://www.uclawsf.edu/2025/11/18/do-privacy-preserving-technologies-harm-workers-prof-seema-n-patel-unpacks-impacts-of-emerging-ai-tools/" TargetMode="External"/><Relationship Id="rId16" Type="http://schemas.openxmlformats.org/officeDocument/2006/relationships/hyperlink" Target="https://www.weforum.org/publications/the-future-of-jobs-report-2025/" TargetMode="External"/><Relationship Id="rId19" Type="http://schemas.openxmlformats.org/officeDocument/2006/relationships/hyperlink" Target="https://www.shrm.org/topics-tools/news/employee-relations/ai-surveillance-in-the-workplace-linked-to-employee-resistance" TargetMode="External"/><Relationship Id="rId18" Type="http://schemas.openxmlformats.org/officeDocument/2006/relationships/hyperlink" Target="https://www.uclawsf.edu/2025/11/18/do-privacy-preserving-technologies-harm-workers-prof-seema-n-patel-unpacks-impacts-of-emerging-ai-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