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a</w:t>
      </w:r>
      <w:r w:rsidDel="00000000" w:rsidR="00000000" w:rsidRPr="00000000">
        <w:rPr>
          <w:rFonts w:ascii="Avenir" w:cs="Avenir" w:eastAsia="Avenir" w:hAnsi="Avenir"/>
          <w:b w:val="1"/>
          <w:bCs w:val="1"/>
          <w:color w:val="5b9bd5"/>
          <w:sz w:val="24"/>
          <w:szCs w:val="24"/>
          <w:rtl w:val="0"/>
        </w:rPr>
        <w:t xml:space="preserve">5) Hollowing Out Towns via Automation</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360" w:lineRule="auto"/>
        <w:rPr>
          <w:rFonts w:ascii="Avenir" w:cs="Avenir" w:eastAsia="Avenir" w:hAnsi="Avenir"/>
          <w:color w:val="3c3f42"/>
          <w:sz w:val="15"/>
          <w:szCs w:val="15"/>
        </w:rPr>
      </w:pPr>
      <w:r w:rsidDel="00000000" w:rsidR="00000000" w:rsidRPr="00000000">
        <w:rPr>
          <w:rFonts w:ascii="Avenir" w:cs="Avenir" w:eastAsia="Avenir" w:hAnsi="Avenir"/>
          <w:sz w:val="18"/>
          <w:szCs w:val="18"/>
          <w:rtl w:val="0"/>
        </w:rPr>
        <w:t xml:space="preserve">Severing the Link between the Factories and the Community that surrounds them</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For centuries, the model of industrial geography relied on physical proximity between factories and their workforces. The integration of AI in industrial settings suggests a restructuring of this dynamic. As these systems mature, operations are becoming increasingly capable of running on the physical floor with minimal human intervention. This change leads to a shift not only in the required skill sets, but also in their physical locations [96]. Highly automated facilities reduce the demand for localized manual labor and, in turn, create a need for people responsible for AI systems, such as data scientists and cybersecurity professionals [92]. </w:t>
      </w:r>
      <w:r w:rsidDel="00000000" w:rsidR="00000000" w:rsidRPr="00000000">
        <w:rPr>
          <w:rFonts w:ascii="Avenir" w:cs="Avenir" w:eastAsia="Avenir" w:hAnsi="Avenir"/>
          <w:color w:val="3c3f42"/>
          <w:sz w:val="14"/>
          <w:szCs w:val="14"/>
          <w:rtl w:val="0"/>
        </w:rPr>
        <w:t xml:space="preserve">These roles often manage operations via remote networks. Therefore, workers are increasingly becoming independent of the factory location</w:t>
      </w:r>
      <w:r w:rsidDel="00000000" w:rsidR="00000000" w:rsidRPr="00000000">
        <w:rPr>
          <w:rFonts w:ascii="Avenir" w:cs="Avenir" w:eastAsia="Avenir" w:hAnsi="Avenir"/>
          <w:color w:val="3c3f42"/>
          <w:sz w:val="14"/>
          <w:szCs w:val="14"/>
          <w:rtl w:val="0"/>
        </w:rPr>
      </w:r>
      <w:r w:rsidDel="00000000" w:rsidR="00000000" w:rsidRPr="00000000">
        <w:rPr>
          <w:rFonts w:ascii="Avenir" w:cs="Avenir" w:eastAsia="Avenir" w:hAnsi="Avenir"/>
          <w:color w:val="3c3f42"/>
          <w:sz w:val="14"/>
          <w:szCs w:val="14"/>
          <w:rtl w:val="0"/>
        </w:rPr>
        <w:t xml:space="preserve"> Consequently, this dynamic risks depriving legacy industrial communities of their historical economic anchors, while potentially redirecting wealth and population growth towards concentrated technological centers [150, 151, 152]. Structural economic transition for these regions will become necessary to adapt and avoid the massive civic collapse historically seen in the US "Rust Belt" (formerly industrialized states facing manufacturing decline) [153, 154]..</w:t>
      </w: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4"/>
          <w:szCs w:val="14"/>
        </w:rPr>
      </w:pP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4"/>
          <w:szCs w:val="14"/>
        </w:rPr>
      </w:pPr>
      <w:r w:rsidDel="00000000" w:rsidR="00000000" w:rsidRPr="00000000">
        <w:rPr>
          <w:rFonts w:ascii="Avenir" w:cs="Avenir" w:eastAsia="Avenir" w:hAnsi="Avenir"/>
          <w:b w:val="1"/>
          <w:bCs w:val="1"/>
          <w:color w:val="024ea2"/>
          <w:sz w:val="14"/>
          <w:szCs w:val="14"/>
          <w:rtl w:val="0"/>
        </w:rPr>
        <w:t xml:space="preserve">Facts</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4"/>
          <w:szCs w:val="14"/>
        </w:rPr>
      </w:pPr>
      <w:r w:rsidDel="00000000" w:rsidR="00000000" w:rsidRPr="00000000">
        <w:rPr>
          <w:rtl w:val="0"/>
        </w:rPr>
      </w:r>
    </w:p>
    <w:p w:rsidR="00000000" w:rsidDel="00000000" w:rsidP="00000000" w:rsidRDefault="00000000" w:rsidRPr="00000000" w14:paraId="00000007">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A ten percentage-point drop in the manufacturing employment share is associated with roughly 9.5 fewer local amenities per 10,000 residents overall, with sizable declines across most service categories [95].</w:t>
      </w:r>
    </w:p>
    <w:p w:rsidR="00000000" w:rsidDel="00000000" w:rsidP="00000000" w:rsidRDefault="00000000" w:rsidRPr="00000000" w14:paraId="00000008">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Looking ahead, 44% of manufacturers plan to increase automation over the next five years to drive positive business outcomes [152].</w:t>
      </w:r>
    </w:p>
    <w:p w:rsidR="00000000" w:rsidDel="00000000" w:rsidP="00000000" w:rsidRDefault="00000000" w:rsidRPr="00000000" w14:paraId="00000009">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Reflecting the shift toward a decentralized workforce, 63% of manufacturing organizations now have hybrid or remote working programs in place [155].</w:t>
      </w:r>
    </w:p>
    <w:p w:rsidR="00000000" w:rsidDel="00000000" w:rsidP="00000000" w:rsidRDefault="00000000" w:rsidRPr="00000000" w14:paraId="0000000A">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Every new high-tech job creates 4.9 new jobs in the surrounding area, with three of those positions available for individuals without college degrees</w:t>
      </w:r>
      <w:r w:rsidDel="00000000" w:rsidR="00000000" w:rsidRPr="00000000">
        <w:rPr>
          <w:rFonts w:ascii="Avenir" w:cs="Avenir" w:eastAsia="Avenir" w:hAnsi="Avenir"/>
          <w:color w:val="3c3f42"/>
          <w:sz w:val="14"/>
          <w:szCs w:val="14"/>
          <w:rtl w:val="0"/>
        </w:rPr>
        <w:t xml:space="preserve"> [156, 157].</w:t>
      </w: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firstLine="0"/>
        <w:jc w:val="both"/>
        <w:rPr>
          <w:rFonts w:ascii="Avenir" w:cs="Avenir" w:eastAsia="Avenir" w:hAnsi="Avenir"/>
          <w:color w:val="3c3f42"/>
          <w:sz w:val="14"/>
          <w:szCs w:val="14"/>
        </w:rPr>
      </w:pPr>
      <w:r w:rsidDel="00000000" w:rsidR="00000000" w:rsidRPr="00000000">
        <w:rPr>
          <w:rtl w:val="0"/>
        </w:rPr>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4"/>
          <w:szCs w:val="14"/>
        </w:rPr>
      </w:pPr>
      <w:r w:rsidDel="00000000" w:rsidR="00000000" w:rsidRPr="00000000">
        <w:rPr>
          <w:rFonts w:ascii="Avenir" w:cs="Avenir" w:eastAsia="Avenir" w:hAnsi="Avenir"/>
          <w:b w:val="1"/>
          <w:bCs w:val="1"/>
          <w:color w:val="024ea2"/>
          <w:sz w:val="14"/>
          <w:szCs w:val="14"/>
          <w:rtl w:val="0"/>
        </w:rPr>
        <w:t xml:space="preserve">Key Drivers</w:t>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4"/>
          <w:szCs w:val="14"/>
        </w:rPr>
      </w:pPr>
      <w:r w:rsidDel="00000000" w:rsidR="00000000" w:rsidRPr="00000000">
        <w:rPr>
          <w:rtl w:val="0"/>
        </w:rPr>
      </w:r>
    </w:p>
    <w:p w:rsidR="00000000" w:rsidDel="00000000" w:rsidP="00000000" w:rsidRDefault="00000000" w:rsidRPr="00000000" w14:paraId="0000000E">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AI-driven automation can boost productivity by 2-3x and achieve 99% defect reduction, encouraging businesses to adopt autonomous manufacturing systems [158].</w:t>
      </w:r>
    </w:p>
    <w:p w:rsidR="00000000" w:rsidDel="00000000" w:rsidP="00000000" w:rsidRDefault="00000000" w:rsidRPr="00000000" w14:paraId="0000000F">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High-skill positions such as AI engineers and cybersecurity specialists are predominantly found in urban technology centers, which companies use to gain access to talent [159].</w:t>
      </w:r>
      <w:r w:rsidDel="00000000" w:rsidR="00000000" w:rsidRPr="00000000">
        <w:rPr>
          <w:rtl w:val="0"/>
        </w:rPr>
      </w:r>
    </w:p>
    <w:p w:rsidR="00000000" w:rsidDel="00000000" w:rsidP="00000000" w:rsidRDefault="00000000" w:rsidRPr="00000000" w14:paraId="00000010">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COVID-19 demonstrated that knowledge-based industrial roles can be performed remotely at scale, accelerating organizational acceptance of decentralized workforce models [160].</w:t>
      </w:r>
      <w:r w:rsidDel="00000000" w:rsidR="00000000" w:rsidRPr="00000000">
        <w:rPr>
          <w:rtl w:val="0"/>
        </w:rPr>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4"/>
          <w:szCs w:val="14"/>
        </w:rPr>
      </w:pPr>
      <w:r w:rsidDel="00000000" w:rsidR="00000000" w:rsidRPr="00000000">
        <w:rPr>
          <w:rtl w:val="0"/>
        </w:rPr>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4"/>
          <w:szCs w:val="14"/>
        </w:rPr>
      </w:pPr>
      <w:r w:rsidDel="00000000" w:rsidR="00000000" w:rsidRPr="00000000">
        <w:rPr>
          <w:rFonts w:ascii="Avenir" w:cs="Avenir" w:eastAsia="Avenir" w:hAnsi="Avenir"/>
          <w:b w:val="1"/>
          <w:bCs w:val="1"/>
          <w:color w:val="024ea2"/>
          <w:sz w:val="14"/>
          <w:szCs w:val="14"/>
          <w:rtl w:val="0"/>
        </w:rPr>
        <w:t xml:space="preserve">Challenges</w:t>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4"/>
          <w:szCs w:val="14"/>
        </w:rPr>
      </w:pPr>
      <w:r w:rsidDel="00000000" w:rsidR="00000000" w:rsidRPr="00000000">
        <w:rPr>
          <w:rtl w:val="0"/>
        </w:rPr>
      </w:r>
    </w:p>
    <w:p w:rsidR="00000000" w:rsidDel="00000000" w:rsidP="00000000" w:rsidRDefault="00000000" w:rsidRPr="00000000" w14:paraId="00000014">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Addressing the decline in taxpayers and residents in traditional industrial towns requires identifying new sources of income to sustain local infrastructure and services [161].</w:t>
      </w:r>
      <w:r w:rsidDel="00000000" w:rsidR="00000000" w:rsidRPr="00000000">
        <w:rPr>
          <w:rtl w:val="0"/>
        </w:rPr>
      </w:r>
    </w:p>
    <w:p w:rsidR="00000000" w:rsidDel="00000000" w:rsidP="00000000" w:rsidRDefault="00000000" w:rsidRPr="00000000" w14:paraId="00000015">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Many conventional industrial firms will find it challenging to compete with the compensation and stock options offered by large software companies in order to attract top urban talent [162].</w:t>
      </w:r>
      <w:r w:rsidDel="00000000" w:rsidR="00000000" w:rsidRPr="00000000">
        <w:rPr>
          <w:rtl w:val="0"/>
        </w:rPr>
      </w:r>
    </w:p>
    <w:p w:rsidR="00000000" w:rsidDel="00000000" w:rsidP="00000000" w:rsidRDefault="00000000" w:rsidRPr="00000000" w14:paraId="00000016">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When a city aligns itself with a company, like Stuttgart with Daimler, the factory gains a “social license” to operate. If the factory does not hire locally, this connection weakens, leading to potentially increased local backlash against environmental issues or complaints</w:t>
      </w:r>
      <w:r w:rsidDel="00000000" w:rsidR="00000000" w:rsidRPr="00000000">
        <w:rPr>
          <w:rFonts w:ascii="Avenir" w:cs="Avenir" w:eastAsia="Avenir" w:hAnsi="Avenir"/>
          <w:color w:val="3c3f42"/>
          <w:sz w:val="14"/>
          <w:szCs w:val="14"/>
          <w:rtl w:val="0"/>
        </w:rPr>
        <w:t xml:space="preserve"> [163].</w:t>
      </w:r>
      <w:r w:rsidDel="00000000" w:rsidR="00000000" w:rsidRPr="00000000">
        <w:rPr>
          <w:rtl w:val="0"/>
        </w:rPr>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4"/>
          <w:szCs w:val="14"/>
        </w:rPr>
      </w:pPr>
      <w:r w:rsidDel="00000000" w:rsidR="00000000" w:rsidRPr="00000000">
        <w:rPr>
          <w:rtl w:val="0"/>
        </w:rPr>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4"/>
          <w:szCs w:val="14"/>
        </w:rPr>
      </w:pPr>
      <w:r w:rsidDel="00000000" w:rsidR="00000000" w:rsidRPr="00000000">
        <w:rPr>
          <w:rFonts w:ascii="Avenir" w:cs="Avenir" w:eastAsia="Avenir" w:hAnsi="Avenir"/>
          <w:b w:val="1"/>
          <w:bCs w:val="1"/>
          <w:color w:val="024ea2"/>
          <w:sz w:val="14"/>
          <w:szCs w:val="14"/>
          <w:rtl w:val="0"/>
        </w:rPr>
        <w:t xml:space="preserve">Impact on Industrial AI</w:t>
      </w:r>
    </w:p>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4"/>
          <w:szCs w:val="14"/>
        </w:rPr>
      </w:pPr>
      <w:r w:rsidDel="00000000" w:rsidR="00000000" w:rsidRPr="00000000">
        <w:rPr>
          <w:rFonts w:ascii="Avenir" w:cs="Avenir" w:eastAsia="Avenir" w:hAnsi="Avenir"/>
          <w:color w:val="3c3f42"/>
          <w:sz w:val="14"/>
          <w:szCs w:val="14"/>
          <w:rtl w:val="0"/>
        </w:rPr>
        <w:t>While the integration of AI in industrial environments is still in its early stages, it has the potential to automate tasks on an unprecedented scale, leading to significant changes in the distribution of the industrial workforce across different regions</w:t>
      </w:r>
      <w:r w:rsidDel="00000000" w:rsidR="00000000" w:rsidRPr="00000000">
        <w:rPr>
          <w:rFonts w:ascii="Avenir" w:cs="Avenir" w:eastAsia="Avenir" w:hAnsi="Avenir"/>
          <w:color w:val="3c3f42"/>
          <w:sz w:val="14"/>
          <w:szCs w:val="14"/>
          <w:rtl w:val="0"/>
        </w:rPr>
        <w:t xml:space="preserve"> When a facility shifts toward autonomous operations, the resulting job losses can weaken the surrounding town’s economy, reduce spending at local businesses, and contribute to population decline and lower civic engagement. This transition may also trigger political and labor resistance, depending on how quickly the local economy can adapt [164, 165]. .</w:t>
      </w:r>
      <w:r w:rsidDel="00000000" w:rsidR="00000000" w:rsidRPr="00000000">
        <w:rPr>
          <w:rtl w:val="0"/>
        </w:rPr>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024ea2"/>
          <w:sz w:val="14"/>
          <w:szCs w:val="1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hbs.edu/ris/Publication%20Files/012026_BerlandTabelliniTricaud_efab3ac2-c1f0-4348-83a7-6e8070ee9f32.pdf" TargetMode="External"/><Relationship Id="rId10" Type="http://schemas.openxmlformats.org/officeDocument/2006/relationships/hyperlink" Target="https://www.wri.org/snapshots/germany-ruhr-regions-pivot-coal-mining-hub-green-industry-and-expertise" TargetMode="External"/><Relationship Id="rId13" Type="http://schemas.openxmlformats.org/officeDocument/2006/relationships/hyperlink" Target="https://www.library.hbs.edu/working-knowledge/where-do-workers-go-when-robots-arrive" TargetMode="External"/><Relationship Id="rId12" Type="http://schemas.openxmlformats.org/officeDocument/2006/relationships/hyperlink" Target="https://doi.org/10.1093/jeg/lbt016"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i.org/10.26509/frbc-ec-201306" TargetMode="External"/><Relationship Id="rId15" Type="http://schemas.openxmlformats.org/officeDocument/2006/relationships/hyperlink" Target="https://www.brookings.edu/articles/countering-the-geographical-impacts-of-automation-computers-ai-and-place-disparities/" TargetMode="External"/><Relationship Id="rId14" Type="http://schemas.openxmlformats.org/officeDocument/2006/relationships/hyperlink" Target="https://www.library.hbs.edu/working-knowledge/where-do-workers-go-when-robots-arrive" TargetMode="External"/><Relationship Id="rId16" Type="http://schemas.openxmlformats.org/officeDocument/2006/relationships/hyperlink" Target="https://www.brookings.edu/articles/countering-the-geographical-impacts-of-automation-computers-ai-and-place-disparities/" TargetMode="External"/><Relationship Id="rId5" Type="http://schemas.openxmlformats.org/officeDocument/2006/relationships/styles" Target="styles.xml"/><Relationship Id="rId6" Type="http://schemas.openxmlformats.org/officeDocument/2006/relationships/hyperlink" Target="https://www.weforum.org/publications/the-future-of-jobs-report-2025/" TargetMode="External"/><Relationship Id="rId7" Type="http://schemas.openxmlformats.org/officeDocument/2006/relationships/hyperlink" Target="https://static1.squarespace.com/static/6500be7b90b0f770653f355f/t/6795342daf06ad7acfd19e1c/1737831499334/Rockwell+Automation+-+2024+9th+Annual+State+of+Manufacturing+Report.pdf" TargetMode="External"/><Relationship Id="rId8" Type="http://schemas.openxmlformats.org/officeDocument/2006/relationships/hyperlink" Target="https://www.rockwellautomation.com/content/dam/rockwell-automation/documents/pdf/campaigns/state-of-smart-2025-cpg/INFO-BR029C-EN-P.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