
<file path=[Content_Types].xml><?xml version="1.0" encoding="utf-8"?>
<Types xmlns="http://schemas.openxmlformats.org/package/2006/content-types">
  <Default Extension="rels" ContentType="application/vnd.openxmlformats-package.relationships+xml"/>
  <Default Extension="xml" ContentType="application/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200" w:before="0" w:line="240" w:lineRule="auto"/>
        <w:jc w:val="both"/>
        <w:rPr>
          <w:rFonts w:ascii="Avenir" w:cs="Avenir" w:eastAsia="Avenir" w:hAnsi="Avenir"/>
          <w:b w:val="1"/>
          <w:bCs w:val="1"/>
          <w:color w:val="5b9bd5"/>
          <w:sz w:val="24"/>
          <w:szCs w:val="24"/>
        </w:rPr>
      </w:pPr>
      <w:bookmarkStart w:colFirst="0" w:colLast="0" w:name="_pfxtqo66ilrz" w:id="0"/>
      <w:bookmarkEnd w:id="0"/>
      <w:r w:rsidDel="00000000" w:rsidR="00000000" w:rsidRPr="00000000">
        <w:rPr>
          <w:rFonts w:ascii="Avenir" w:cs="Avenir" w:eastAsia="Avenir" w:hAnsi="Avenir"/>
          <w:b w:val="1"/>
          <w:bCs w:val="1"/>
          <w:color w:val="5b9bd5"/>
          <w:sz w:val="24"/>
          <w:szCs w:val="24"/>
          <w:rtl w:val="0"/>
        </w:rPr>
        <w:t xml:space="preserve">Societal Trends</w:t>
      </w:r>
    </w:p>
    <w:p w:rsidR="00000000" w:rsidDel="00000000" w:rsidP="00000000" w:rsidRDefault="00000000" w:rsidRPr="00000000" w14:paraId="00000002">
      <w:pPr>
        <w:rPr/>
      </w:pPr>
      <w:r w:rsidDel="00000000" w:rsidR="00000000" w:rsidRPr="00000000">
        <w:rPr>
          <w:rtl w:val="0"/>
        </w:rPr>
        <w:t xml:space="preserve">The Transformation of People, Skills, and Places in the Age of Industrial AI</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As industrial AI matures technologically, its real-world impact will increasingly hinge on societal readiness. In the following, three dimensions shaping that readiness are explored. These range from trust between humans and autonomous systems, through a generational transition in the industrial workforce, to the race between technological change and skills adaptation.</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Scaling AI in industrial environments depends on calibrated trust, which is no longer a soft cultural factor but a measurable system property that must be achieved on cognitive, emotional, and institutional levels [84]. However, this foundation is frequently undermined when surveillance tools meant to improve safety also create opacity, leading to worker dissatisfaction and performative productivity [85]. At the same time, the role of the industrial worker is shifting from manual execution to supervisory orchestration. As agentic AI systems, projected to grow at a 25% CAGR through 2030, begin to autonomously analyze data and adjust parameters, workers are transitioning into roles that resemble air-traffic control, intervening primarily in rare, complex situations that make their work more strategic yet more demanding [86, 87]. Collaborative robots (Cobots), growing at more than 30% per year, are accelerating this transition by placing autonomous systems directly alongside human operators on the factory floor [88].</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 critical challenge in this transition is preserving the tacit knowledge embedded in experienced workers. With 13.4M people in Germany alone reaching retirement age within the next 15 years, and an estimated 1.9M manufacturing roles at risk of going unfilled by 2033, companies face the loss of decades of accumulated expertise [89, 90]. AI is being leveraged to digitize this tribal knowledge, shifting knowledge flows from senior-to-junior transmission toward system-mediated access [91]. Simultaneously, rapid technological change is widening the industrial skills divide. Employers expect 39% of workers' core skills to change by 2030, creating an urgent need for continuous reskilling [92]. Without large-scale intervention, the workforce risks fragmenting into highly skilled technical specialists and routine workers displaced by automation, potentially pushing critical expertise toward platform-mediated or gig-based labor models </w:t>
      </w:r>
      <w:r w:rsidDel="00000000" w:rsidR="00000000" w:rsidRPr="00000000">
        <w:rPr>
          <w:rFonts w:ascii="Avenir" w:cs="Avenir" w:eastAsia="Avenir" w:hAnsi="Avenir"/>
          <w:color w:val="3c3f42"/>
          <w:sz w:val="15"/>
          <w:szCs w:val="15"/>
          <w:rtl w:val="0"/>
        </w:rPr>
        <w:t>[93, 94]</w:t>
      </w:r>
      <w:r w:rsidDel="00000000" w:rsidR="00000000" w:rsidRPr="00000000">
        <w:rPr>
          <w:rFonts w:ascii="Avenir" w:cs="Avenir" w:eastAsia="Avenir" w:hAnsi="Avenir"/>
          <w:color w:val="3c3f42"/>
          <w:sz w:val="15"/>
          <w:szCs w:val="15"/>
          <w:rtl w:val="0"/>
        </w:rPr>
        <w:t>.</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Lastly, the maturation of AI is decoupling production from local populations. As factories become capable of running with minimal human intervention, high-skill roles increasingly manage operations via remote networks. A ten-percentage-point drop in manufacturing employment share is associated with roughly 9.5 fewer local amenities per 10,000 residents, illustrating the cascading community effects of this shift [95]. This geographic reorganization risks depriving legacy industrial communities of their economic anchors while concentrating growth in urban technological centers [96, 97]. This report examines five converging societal trends that will shape how industrial AI transforms not just production systems but the people and places that depend on them.</w:t>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Krrish Agarwalla" w:id="0" w:date="2026-03-31T14:24:30Z">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Citation is starting with [2], this breaks the whole pipeline.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