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b w:val="1"/>
          <w:bCs w:val="1"/>
          <w:color w:val="5b9bd5"/>
          <w:sz w:val="24"/>
          <w:szCs w:val="24"/>
        </w:rPr>
      </w:pPr>
      <w:bookmarkStart w:colFirst="0" w:colLast="0" w:name="_fbhx3pta7602" w:id="0"/>
      <w:bookmarkEnd w:id="0"/>
      <w:r w:rsidDel="00000000" w:rsidR="00000000" w:rsidRPr="00000000">
        <w:rPr>
          <w:rFonts w:ascii="Avenir" w:cs="Avenir" w:eastAsia="Avenir" w:hAnsi="Avenir"/>
          <w:b w:val="1"/>
          <w:bCs w:val="1"/>
          <w:color w:val="5b9bd5"/>
          <w:sz w:val="24"/>
          <w:szCs w:val="24"/>
          <w:rtl w:val="0"/>
        </w:rPr>
        <w:t xml:space="preserve">Enabling Real-Time </w:t>
      </w:r>
      <w:commentRangeStart w:id="0"/>
      <w:commentRangeStart w:id="1"/>
      <w:commentRangeStart w:id="2"/>
      <w:commentRangeStart w:id="3"/>
      <w:commentRangeStart w:id="4"/>
      <w:r w:rsidDel="00000000" w:rsidR="00000000" w:rsidRPr="00000000">
        <w:rPr>
          <w:rFonts w:ascii="Avenir" w:cs="Avenir" w:eastAsia="Avenir" w:hAnsi="Avenir"/>
          <w:b w:val="1"/>
          <w:bCs w:val="1"/>
          <w:color w:val="5b9bd5"/>
          <w:sz w:val="24"/>
          <w:szCs w:val="24"/>
          <w:rtl w:val="0"/>
        </w:rPr>
        <w:t xml:space="preserve">Inference</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Proximity and Hardware Architecture for Time-Sensitive Industrial Applications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Processing data on factory-floor hardware rather than remote servers reduces latency and keeps proprietary production data on premises [4]. In collaborative robot-human environments, any delay between sensing and action directly reduces the safety margin [15]. Safety-critical processes, such as real-time cobot collision avoidance, therefore must meet certain response time thresholds [16]. Meeting these thresholds on-premises requires hardware that combines relatively fast computation with high energy efficiency. Established semiconductor hardware increasingly struggles to satisfy this, which is driving development beyond conventional silicon [17]. Novel processor architectures exploit fundamentally different physical mechanisms to achieve higher efficiency [18, 19]. Neuromorphic processors, which take inspiration from the biological brain, deliver up to 100 times higher energy efficiency and 50 times higher speed than conventional processor architectures for inference tasks [18]. Photonic computing takes a different approach, using light instead of electrons to achieve inference at 29 femtojoules per operation and speeds more than 100 times faster than leading Nvidia processors for generative AI workloads [19, 20]</w:t>
      </w:r>
      <w:commentRangeStart w:id="5"/>
      <w:r w:rsidDel="00000000" w:rsidR="00000000" w:rsidRPr="00000000">
        <w:rPr>
          <w:rFonts w:ascii="Avenir" w:cs="Avenir" w:eastAsia="Avenir" w:hAnsi="Avenir"/>
          <w:color w:val="3c3f42"/>
          <w:sz w:val="15"/>
          <w:szCs w:val="15"/>
          <w:rtl w:val="0"/>
        </w:rPr>
        <w:t xml:space="preserve">.</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Because transmission of information cannot exceed the speed of light, centralized clouds face a physical minimum latency, making data proximity a strict constraint for latency-critical applications [21, 22].</w:t>
      </w:r>
      <w:r w:rsidDel="00000000" w:rsidR="00000000" w:rsidRPr="00000000">
        <w:rPr>
          <w:rtl w:val="0"/>
        </w:rPr>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European Union (EU) data sovereignty regulations also favor on-premises processing. GDPR carries fines up to 20M EUR or 4% of turnover, the Data Act mandates machine-readable access for switching between services, and the AI Act classifies safety-component AI as high-risk [23, 24, 25]. </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Global robotics investments grew 230% between 2019 and 2024 and are projected to surpass 100B USD by 2030, accelerating demand for on-premises inference [26].</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AI applications such as autonomous mobile robots and real-time quality control often operate under strict latency constraints for which on-premises compute is structurally well-suited [16].</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As human-robot collaboration scales globally [26], each new installation adds a latency-sensitive system to the factory floor, directly expanding demand for local compute infrastructure [15].</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Manufacturers deploying AI in safety-critical manufacturing steps face direct legal accountability under the AI Act and General Data Protection Regulation (GDPR), creating structural pressure to retain data processing within controlled on-premises infrastructure [23].</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7"/>
          <w:szCs w:val="17"/>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30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Cybersecurity exposure is acute, with 52% of industrial companies having experienced cyberattacks involving operational technology or Internet of Things (IoT) devices. Yet only 40% offer regular cybersecurity training, and 60% rate their budget as inadequate [27].</w:t>
      </w:r>
      <w:r w:rsidDel="00000000" w:rsidR="00000000" w:rsidRPr="00000000">
        <w:rPr>
          <w:rtl w:val="0"/>
        </w:rPr>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Legacy system integration remains difficult because more than 70% of North American factory machinery exceeds 20 years of age, and most equipment predates digital interfaces [28, 29].</w:t>
      </w:r>
      <w:r w:rsidDel="00000000" w:rsidR="00000000" w:rsidRPr="00000000">
        <w:rPr>
          <w:rtl w:val="0"/>
        </w:rPr>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Distributing AI inference across factory-floor hardware expands the attack surface, making industrial systems more vulnerable to both physical and network-based threats [30].</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On-premises AI inference enables the millisecond-level response times that quality inspection, predictive maintenance, and real-time robot coordination require. Cloud architectures face a structural latency floor from data transmission distances [22], which on-premises compute eliminates by processing data at its source [4]. Furthermore, local inference reaches settings where cloud connectivity is structurally unavailable [4], such as offshore platforms, deep-sea operations, and mining. Novel hardware like neuromorphic and photonic processors achieves significant energy reductions at high computation speed</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[18, 19, 31].</w:t>
      </w: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oah Grohganz" w:id="0" w:date="2026-03-31T11:25:48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@simon.peter@cdtm.com let's push this over the finish line together</w:t>
      </w:r>
    </w:p>
  </w:comment>
  <w:comment w:author="Simon Peter" w:id="1" w:date="2026-03-31T12:06:43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@noah.grohganz@cdtm.com I'd love to buddy</w:t>
      </w:r>
    </w:p>
  </w:comment>
  <w:comment w:author="Noah Grohganz" w:id="2" w:date="2026-03-31T13:40:59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@simon.peter@cdtm.com did the changes - going for a hot chocolate now</w:t>
      </w:r>
    </w:p>
  </w:comment>
  <w:comment w:author="Simon Peter" w:id="3" w:date="2026-03-31T13:43:57Z">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@noah.grohganz@cdtm.com cute. enjoy. lmk how it was &lt;3</w:t>
      </w:r>
    </w:p>
  </w:comment>
  <w:comment w:author="Noah Grohganz" w:id="4" w:date="2026-03-31T14:00:04Z">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@simon.peter@cdtm.com hihi was amazing  :*</w:t>
      </w:r>
    </w:p>
  </w:comment>
  <w:comment w:author="Noah Grohganz" w:id="5" w:date="2026-03-31T10:08:14Z">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Old version: Industrial AI requires near-instant responses, making the latency of distant compute infrastructure a bottleneck [1]. Processing data on factory-floor hardware rather than remote servers reduces latency and keeps proprietary production data on-premises [1]. On-premises compute meets the sub-20-millisecond response times required for safety-critical applications such as autonomous mobile robot navigation and real-time cobot collision avoidance [2]. Rather than replacing the cloud, edge computing serves as a vital complement to offload workloads and enable real-time processing [1,2]. That demand for high-performance, low-energy operation is encouraging hardware development beyond conventional silicon [3,4]. Neuromorphic processors, inspired by biological neural architectures, deliver up to 100 times higher energy efficiency and 50 times higher speed than conventional processor architectures for inference tasks [3]. Photonic computing, which uses light instead of electrons, has demonstrated inference at 29 femtojoules per operation and speeds more than 100 times faster than leading Nvidia processors for generative AI workloads [4].</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hyperlink" Target="https://www.automate.org/robotics/industry-insights/legacy-equipment-digital-transformation" TargetMode="External"/><Relationship Id="rId9" Type="http://schemas.openxmlformats.org/officeDocument/2006/relationships/hyperlink" Target="https://digital-strategy.ec.europa.eu/en/faqs/navigating-ai-act"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commission.europa.eu/law/law-topic/data-protection/rules-business-and-organisations/enforcement-and-sanctions/sanctions/what-if-my-companyorganisation-fails-comply-data-protection-rules_en" TargetMode="External"/><Relationship Id="rId8" Type="http://schemas.openxmlformats.org/officeDocument/2006/relationships/hyperlink" Target="https://digital-strategy.ec.europa.eu/en/factpages/data-act-explain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