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pPr>
      <w:bookmarkStart w:colFirst="0" w:colLast="0" w:name="_rq0wnfbv6ie" w:id="0"/>
      <w:bookmarkEnd w:id="0"/>
      <w:r w:rsidDel="00000000" w:rsidR="00000000" w:rsidRPr="00000000">
        <w:rPr>
          <w:rFonts w:ascii="Avenir" w:cs="Avenir" w:eastAsia="Avenir" w:hAnsi="Avenir"/>
          <w:b w:val="1"/>
          <w:bCs w:val="1"/>
          <w:color w:val="5b9bd5"/>
          <w:sz w:val="24"/>
          <w:szCs w:val="24"/>
          <w:rtl w:val="0"/>
        </w:rPr>
        <w:t xml:space="preserve">Extending Production‑System Logic</w:t>
      </w:r>
      <w:r w:rsidDel="00000000" w:rsidR="00000000" w:rsidRPr="00000000">
        <w:rPr>
          <w:rtl w:val="0"/>
        </w:rPr>
      </w:r>
    </w:p>
    <w:p w:rsidR="00000000" w:rsidDel="00000000" w:rsidP="00000000" w:rsidRDefault="00000000" w:rsidRPr="00000000" w14:paraId="00000002">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8"/>
          <w:szCs w:val="18"/>
        </w:rPr>
      </w:pPr>
      <w:bookmarkStart w:colFirst="0" w:colLast="0" w:name="_ykdck29l7mo" w:id="1"/>
      <w:bookmarkEnd w:id="1"/>
      <w:r w:rsidDel="00000000" w:rsidR="00000000" w:rsidRPr="00000000">
        <w:rPr>
          <w:rFonts w:ascii="Avenir" w:cs="Avenir" w:eastAsia="Avenir" w:hAnsi="Avenir"/>
          <w:sz w:val="18"/>
          <w:szCs w:val="18"/>
          <w:rtl w:val="0"/>
        </w:rPr>
        <w:t xml:space="preserve">Physical AI Enables the Expansion of Structured Factory Workflows into Unstructured Domains</w:t>
        <w:br w:type="textWrapping"/>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 xml:space="preserve">Manufacturing is shifting from robots that follow fixed rules to machines that can think and adapt [60]. For decades, industrial automation was confined to highly controlled, structured environments where every robot movement was manually programmed for a specific setup [3, 61]. Physical AI is enabling the extension of these capabilities into domains that were historically considered too variable or site-specific to automate [9, 62]. In HMLV environments such as aerospace or defense, traditional automation fails because each product variant requires its own set of programmed instructions, and the cost of that configuration exceeds the value of the task itself [9, 63]. A core promise of physical AI is to overcome this by enabling machines to learn tasks such as autonomous sanding or complex assembly through reinforcement learning and simulation-based training [9]. Instead of an engineer manually coding every movement for each variant, the system learns from data, converting the challenge from a configuration problem into a data problem [9, 61]. </w:t>
      </w:r>
      <w:r w:rsidDel="00000000" w:rsidR="00000000" w:rsidRPr="00000000">
        <w:rPr>
          <w:rFonts w:ascii="Avenir" w:cs="Avenir" w:eastAsia="Avenir" w:hAnsi="Avenir"/>
          <w:color w:val="3c3f42"/>
          <w:sz w:val="15"/>
          <w:szCs w:val="15"/>
          <w:rtl w:val="0"/>
        </w:rPr>
        <w:t xml:space="preserve">Today, the critical shift enabling physical AI is the move toward world models: foundation models that understand physics, reason about space and time, and improve continuously through real-world interaction</w:t>
      </w:r>
      <w:r w:rsidDel="00000000" w:rsidR="00000000" w:rsidRPr="00000000">
        <w:rPr>
          <w:rFonts w:ascii="Avenir" w:cs="Avenir" w:eastAsia="Avenir" w:hAnsi="Avenir"/>
          <w:color w:val="3c3f42"/>
          <w:sz w:val="15"/>
          <w:szCs w:val="15"/>
          <w:rtl w:val="0"/>
        </w:rPr>
        <w:t xml:space="preserve"> [64].</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240" w:line="360" w:lineRule="auto"/>
        <w:ind w:left="0" w:firstLine="0"/>
        <w:jc w:val="both"/>
        <w:rPr>
          <w:rFonts w:ascii="Avenir" w:cs="Avenir" w:eastAsia="Avenir" w:hAnsi="Avenir"/>
          <w:color w:val="3c3f42"/>
          <w:sz w:val="15"/>
          <w:szCs w:val="15"/>
          <w:shd w:fill="cfe2f3" w:val="clear"/>
        </w:rPr>
      </w:pPr>
      <w:r w:rsidDel="00000000" w:rsidR="00000000" w:rsidRPr="00000000">
        <w:rPr>
          <w:rFonts w:ascii="Avenir" w:cs="Avenir" w:eastAsia="Avenir" w:hAnsi="Avenir"/>
          <w:color w:val="3c3f42"/>
          <w:sz w:val="15"/>
          <w:szCs w:val="15"/>
          <w:rtl w:val="0"/>
        </w:rPr>
        <w:t xml:space="preserve">Facts: </w:t>
      </w:r>
      <w:r w:rsidDel="00000000" w:rsidR="00000000" w:rsidRPr="00000000">
        <w:rPr>
          <w:rtl w:val="0"/>
        </w:rPr>
      </w:r>
    </w:p>
    <w:p w:rsidR="00000000" w:rsidDel="00000000" w:rsidP="00000000" w:rsidRDefault="00000000" w:rsidRPr="00000000" w14:paraId="0000000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By 2032, nearly 40% of aerospace production, one of the world's most complex HMLV industries, is expected to be lights-out, signaling that even the hardest-to-automate domains are now within reach</w:t>
      </w:r>
      <w:r w:rsidDel="00000000" w:rsidR="00000000" w:rsidRPr="00000000">
        <w:rPr>
          <w:rFonts w:ascii="Avenir" w:cs="Avenir" w:eastAsia="Avenir" w:hAnsi="Avenir"/>
          <w:color w:val="3c3f42"/>
          <w:sz w:val="15"/>
          <w:szCs w:val="15"/>
          <w:rtl w:val="0"/>
        </w:rPr>
        <w:t xml:space="preserve"> [65].</w:t>
      </w:r>
      <w:r w:rsidDel="00000000" w:rsidR="00000000" w:rsidRPr="00000000">
        <w:rPr>
          <w:rtl w:val="0"/>
        </w:rPr>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The global installed base of industrial robots reached 4.66M units in 2024, more than doubling over the past decade, with annual installations projected to surpass 700,000 units by 2028</w:t>
      </w:r>
      <w:r w:rsidDel="00000000" w:rsidR="00000000" w:rsidRPr="00000000">
        <w:rPr>
          <w:rFonts w:ascii="Avenir" w:cs="Avenir" w:eastAsia="Avenir" w:hAnsi="Avenir"/>
          <w:color w:val="3c3f42"/>
          <w:sz w:val="15"/>
          <w:szCs w:val="15"/>
          <w:rtl w:val="0"/>
        </w:rPr>
        <w:t xml:space="preserve"> [66].</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The global physical AI market is projected to grow from ~5B USD in 2025 to ~68B USD by 2034 at a ~33% CAGR, driven by surging demand for intelligent machines across manufacturing, logistics, and healthcare [67].</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With 98% of manufacturers reporting labor shortages [68] and 87% expecting these to worsen due to an aging workforce [69], HMLV sectors face compounding cost pressures from low automation rates </w:t>
      </w:r>
      <w:r w:rsidDel="00000000" w:rsidR="00000000" w:rsidRPr="00000000">
        <w:rPr>
          <w:rFonts w:ascii="Avenir" w:cs="Avenir" w:eastAsia="Avenir" w:hAnsi="Avenir"/>
          <w:color w:val="3c3f42"/>
          <w:sz w:val="15"/>
          <w:szCs w:val="15"/>
          <w:rtl w:val="0"/>
        </w:rPr>
        <w:t xml:space="preserve">[10, 70]. </w:t>
      </w:r>
      <w:r w:rsidDel="00000000" w:rsidR="00000000" w:rsidRPr="00000000">
        <w:rPr>
          <w:rtl w:val="0"/>
        </w:rPr>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Horizon Europe’s robotics work program, Germany’s Robotics Institute initiative, and sizable US autonomy and robotics budgets together direct hundreds of millions of public R&amp;D funding into </w:t>
      </w:r>
      <w:r w:rsidDel="00000000" w:rsidR="00000000" w:rsidRPr="00000000">
        <w:rPr>
          <w:rFonts w:ascii="Avenir" w:cs="Avenir" w:eastAsia="Avenir" w:hAnsi="Avenir"/>
          <w:color w:val="3c3f42"/>
          <w:sz w:val="15"/>
          <w:szCs w:val="15"/>
          <w:rtl w:val="0"/>
        </w:rPr>
        <w:t xml:space="preserve">industrial AI</w:t>
      </w:r>
      <w:r w:rsidDel="00000000" w:rsidR="00000000" w:rsidRPr="00000000">
        <w:rPr>
          <w:rFonts w:ascii="Avenir" w:cs="Avenir" w:eastAsia="Avenir" w:hAnsi="Avenir"/>
          <w:color w:val="3c3f42"/>
          <w:sz w:val="15"/>
          <w:szCs w:val="15"/>
          <w:rtl w:val="0"/>
        </w:rPr>
        <w:t xml:space="preserve"> and robotics capabilities [71].</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Vision-Language-Action (VLA) foundation models are rapidly evolving as a promising path to unlock generalizable spatial reasoning capabilities, all driven by a 280-fold reduction in AI token costs over the last two years [3, 72, 73].</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 xml:space="preserve">Challenges:</w:t>
      </w:r>
      <w:r w:rsidDel="00000000" w:rsidR="00000000" w:rsidRPr="00000000">
        <w:rPr>
          <w:rtl w:val="0"/>
        </w:rPr>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Access to proprietary operational data, robust digital infrastructure, and modernized control systems will be a key bottleneck, slowing adoption for late‑digitizing manufacturers [74].</w:t>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Wider deployment raises concerns about workforce displacement, surveillance, military applications, and concentrated control of critical AI hardware and models [75].</w:t>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Humanoid and general-purpose robots remain niche and cost-inefficient versus specialized cells, with production-grade reliability still unproven, succeeding on only 15% of rare high-mix variants compared to 54% on common tasks</w:t>
      </w:r>
      <w:r w:rsidDel="00000000" w:rsidR="00000000" w:rsidRPr="00000000">
        <w:rPr>
          <w:rFonts w:ascii="Avenir" w:cs="Avenir" w:eastAsia="Avenir" w:hAnsi="Avenir"/>
          <w:color w:val="3c3f42"/>
          <w:sz w:val="15"/>
          <w:szCs w:val="15"/>
          <w:rtl w:val="0"/>
        </w:rPr>
        <w:t xml:space="preserve"> [76, 77].</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Impact on Industrial AI:</w:t>
        <w:br/>
        <w:br/>
        <w:t>Physical AI enables more scalable execution of traditionally custom work, extending automation into unstructured environments [9, 63]. As HMLV industries such as aerospace Maintenance, Repair, and Automation (MRO), medtech, and construction adopt line-like orchestration, constraints shift from labor scarcity to the speed of deploying standardized production playbooks [10]. In parallel, capabilities become transferable across product configurations, spreading investment costs across product families [9, 63, 64]. This creates a new scale economy in complex industries, where cost curves decline with volume and advantage accrues to operators who industrialize expert workflows fastest [3, 10].</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ind w:left="0" w:firstLine="0"/>
        <w:jc w:val="both"/>
        <w:rPr>
          <w:rFonts w:ascii="Avenir" w:cs="Avenir" w:eastAsia="Avenir" w:hAnsi="Avenir"/>
          <w:color w:val="3c3f42"/>
          <w:sz w:val="15"/>
          <w:szCs w:val="15"/>
        </w:rPr>
      </w:pPr>
      <w:r w:rsidDel="00000000" w:rsidR="00000000" w:rsidRPr="00000000">
        <w:rPr>
          <w:rtl w:val="0"/>
        </w:rPr>
      </w:r>
    </w:p>
    <w:sectPr>
      <w:footerReference r:id="rId3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frontiersin.org/journals/manufacturing-technology/articles/10.3389/fmtec.2023.1154263/full" TargetMode="External"/><Relationship Id="rId22" Type="http://schemas.openxmlformats.org/officeDocument/2006/relationships/hyperlink" Target="https://www.bcg.com/assets/2025/executive-perspectives-unlocking-the-value-of-ai-in-manufacturing-30june.pdf" TargetMode="External"/><Relationship Id="rId21" Type="http://schemas.openxmlformats.org/officeDocument/2006/relationships/hyperlink" Target="https://arxiv.org/abs/2602.06512" TargetMode="External"/><Relationship Id="rId24" Type="http://schemas.openxmlformats.org/officeDocument/2006/relationships/hyperlink" Target="https://www.mckinsey.com/capabilities/operations/our-insights/operations-blog/jump-starting-digital-transformations-at-low-volume-high-complexity-manufacturers" TargetMode="External"/><Relationship Id="rId23" Type="http://schemas.openxmlformats.org/officeDocument/2006/relationships/hyperlink" Target="https://www.mckinsey.com/industries/aerospace-and-defense/our-insights/improving-productivity-in-low-volume-high-complexity-manufactu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fr.org/news/robotics-research-goverment-programs-asia-europe-and-america-2025/" TargetMode="External"/><Relationship Id="rId26" Type="http://schemas.openxmlformats.org/officeDocument/2006/relationships/hyperlink" Target="https://www.mckinsey.com/industries/aerospace-and-defense/our-insights/taking-off-scaling-complex-manufacturing-in-the-aerospace-industry" TargetMode="External"/><Relationship Id="rId25" Type="http://schemas.openxmlformats.org/officeDocument/2006/relationships/hyperlink" Target="https://projectproduction.org/technical-conference/application-of-operations-science/" TargetMode="External"/><Relationship Id="rId28" Type="http://schemas.openxmlformats.org/officeDocument/2006/relationships/hyperlink" Target="https://doi.org/10.1145/3746449" TargetMode="External"/><Relationship Id="rId27" Type="http://schemas.openxmlformats.org/officeDocument/2006/relationships/hyperlink" Target="https://www.mckinsey.com/industries/engineering-construction-and-building-materials/our-insights/delivering-on-construction-productivity-is-no-longer-optional" TargetMode="External"/><Relationship Id="rId5" Type="http://schemas.openxmlformats.org/officeDocument/2006/relationships/styles" Target="styles.xml"/><Relationship Id="rId6" Type="http://schemas.openxmlformats.org/officeDocument/2006/relationships/hyperlink" Target="https://www.citigroup.com/global/insights/embodied-intelligence-the-rise-of-physical-ai" TargetMode="External"/><Relationship Id="rId29" Type="http://schemas.openxmlformats.org/officeDocument/2006/relationships/hyperlink" Target="https://ifr.org/ifr-press-releases/news/global-robot-demand-in-factories-doubles-over-10-years" TargetMode="External"/><Relationship Id="rId7" Type="http://schemas.openxmlformats.org/officeDocument/2006/relationships/hyperlink" Target="https://www.cervicornconsulting.com/physical-ai-market" TargetMode="External"/><Relationship Id="rId8" Type="http://schemas.openxmlformats.org/officeDocument/2006/relationships/hyperlink" Target="https://roboticsandautomationnews.com/2025/11/05/deloitte-report-says-physical-ai-era-has-begun-as-intelligent-robots-reshape-industries" TargetMode="External"/><Relationship Id="rId31" Type="http://schemas.openxmlformats.org/officeDocument/2006/relationships/footer" Target="footer1.xml"/><Relationship Id="rId30" Type="http://schemas.openxmlformats.org/officeDocument/2006/relationships/hyperlink" Target="https://hai.stanford.edu/assets/files/hai_ai_index_report_2025.pdf" TargetMode="External"/><Relationship Id="rId11" Type="http://schemas.openxmlformats.org/officeDocument/2006/relationships/hyperlink" Target="https://www.capgemini.com/wp-content/uploads/2025/03/Final-Web-Version-Report-Reindustrialization-Edition-2.pdf" TargetMode="External"/><Relationship Id="rId10" Type="http://schemas.openxmlformats.org/officeDocument/2006/relationships/hyperlink" Target="https://www.techaheadcorp.com/blog/how-embodied-intelligence-redefining-industrial-operation/" TargetMode="External"/><Relationship Id="rId13" Type="http://schemas.openxmlformats.org/officeDocument/2006/relationships/hyperlink" Target="https://blog.ifs.com/2026/01/from-ai-to-outcomes-how-manufacturers-are-transforming-service/" TargetMode="External"/><Relationship Id="rId12" Type="http://schemas.openxmlformats.org/officeDocument/2006/relationships/hyperlink" Target="https://www.snsinsider.com/reports/physical-ai-market-9007" TargetMode="External"/><Relationship Id="rId15" Type="http://schemas.openxmlformats.org/officeDocument/2006/relationships/hyperlink" Target="https://www.tcs.com/content/dam/global-tcs/en/pdfs/what-we-do/industries/manufacturing/paris-air-show/future-ready-skies-survey-report.pdf" TargetMode="External"/><Relationship Id="rId14" Type="http://schemas.openxmlformats.org/officeDocument/2006/relationships/hyperlink" Target="https://www.thomsonreuters.com/en-us/posts/reports/2026-global-trade-report/" TargetMode="External"/><Relationship Id="rId17" Type="http://schemas.openxmlformats.org/officeDocument/2006/relationships/hyperlink" Target="https://www.weforum.org/stories/2025/09/what-is-physical-ai-changing-manufacturing/" TargetMode="External"/><Relationship Id="rId16" Type="http://schemas.openxmlformats.org/officeDocument/2006/relationships/hyperlink" Target="https://reports.weforum.org/docs/WEF_Physical_AI_Powering_the_New_Age_of_Industrial_Operations_2025.pdf" TargetMode="External"/><Relationship Id="rId19" Type="http://schemas.openxmlformats.org/officeDocument/2006/relationships/hyperlink" Target="https://arxiv.org/abs/2511.0949" TargetMode="External"/><Relationship Id="rId18" Type="http://schemas.openxmlformats.org/officeDocument/2006/relationships/hyperlink" Target="https://www.researchgate.net/publication/396400839_Physical_AI_for_Powering_the_Next_Revolution_in_Robo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