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7e9ql660a6zn" w:id="0"/>
      <w:bookmarkEnd w:id="0"/>
      <w:commentRangeStart w:id="0"/>
      <w:commentRangeStart w:id="1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Deploying Continuous Intelligence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How Industrial Foundation Models Are Becoming the Operating System of the Factory Floor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Today, most industrial AI deployments are static, with task-specific models trained once and left running until they quietly lose accuracy as production conditions change [11, 12]. Industrial foundation models are set to change this. Within the next few years, a single unified AI system will process thousands of sensor streams and make real-time production decisions across an entire factory floor [78, 79]. In practice, this will not operate as a single monolithic model but as a powerful base model at the top, with a fleet of smaller, fine-tuned, distilled variants deployed across individual production lines, as smaller models outperform models ten times their size on narrow, repetitive tasks [11, 12, 80]. Equipment ages, materials change, and conditions shift, gradually causing models to drift from the reality they were trained on [12]. If left unmanaged, data drift silently degrades accuracy until the model makes a costly decision [78, 79]. This is what makes an AI-embedded factory operating system a necessity, an autonomous layer that enforces quality standards, detects drift, and triggers re-distillation from the base model when needed [11, 12, 14].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b w:val="1"/>
          <w:bCs w:val="1"/>
          <w:color w:val="5a5a5a"/>
          <w:sz w:val="15"/>
          <w:szCs w:val="15"/>
          <w:highlight w:val="white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a5a5a"/>
          <w:sz w:val="15"/>
          <w:szCs w:val="15"/>
          <w:highlight w:val="white"/>
          <w:rtl w:val="0"/>
        </w:rPr>
        <w:t>Industrial AI and IoT applications require 30-100 milliseconds of latency for real-time edge inference, necessitating techniques such as knowledge distillation to maintain accuracy under compute constraints [81].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b w:val="1"/>
          <w:bCs w:val="1"/>
          <w:color w:val="5a5a5a"/>
          <w:sz w:val="15"/>
          <w:szCs w:val="15"/>
          <w:highlight w:val="white"/>
        </w:rPr>
      </w:pPr>
      <w:r w:rsidDel="00000000" w:rsidR="00000000" w:rsidRPr="00000000">
        <w:rPr>
          <w:rFonts w:ascii="Avenir" w:cs="Avenir" w:eastAsia="Avenir" w:hAnsi="Avenir"/>
          <w:color w:val="5a5a5a"/>
          <w:sz w:val="15"/>
          <w:szCs w:val="15"/>
          <w:highlight w:val="white"/>
          <w:rtl w:val="0"/>
        </w:rPr>
        <w:t>The global industrial AI market, valued at 9.5B USD in 2024, is projected to reach 54.5B USD by 2032, indicating strong investor confidence in the technology [82].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b w:val="1"/>
          <w:bCs w:val="1"/>
          <w:color w:val="5a5a5a"/>
          <w:sz w:val="15"/>
          <w:szCs w:val="15"/>
          <w:highlight w:val="white"/>
        </w:rPr>
      </w:pPr>
      <w:r w:rsidDel="00000000" w:rsidR="00000000" w:rsidRPr="00000000">
        <w:rPr>
          <w:rFonts w:ascii="Avenir" w:cs="Avenir" w:eastAsia="Avenir" w:hAnsi="Avenir"/>
          <w:color w:val="5a5a5a"/>
          <w:sz w:val="15"/>
          <w:szCs w:val="15"/>
          <w:highlight w:val="white"/>
          <w:rtl w:val="0"/>
        </w:rPr>
        <w:t>80% of manufacturers are currently using or planning to adopt generative AI, with incumbents such as Siemens and Microsoft already integrating foundation models into their industrial platforms [78].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Modern plants operate thousands of interconnected sensors, digital twins, and multi-stage processes whose volume and interdependency exceed what narrow models can handle, making the shift toward industrial foundation models necessary [12].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Predictive maintenance and process optimization have already delivered measurable returns, giving manufacturers the confidence to invest further, with unified AI systems representing the logical next step [78, 79].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Edge computing paired with knowledge distillation now enables low-latency inference with lower bandwidth consumption in industrial deployments, fulfilling infrastructure needs that were once a bottleneck [83].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In high-stakes industrial environments, AI hallucinations can trigger costly shutdowns or safety failures, making reliability verification a prerequisite for deployment in safety-critical production processes [11, 12].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 universal industrial foundation model is highly unlikely given the variability in plant operations, equipment physics, and failure modes across industries, though domain-specific foundation models are feasible [12].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0" w:before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Once deployed, industrial foundation models introduce a new operational burden in managing data quality, detecting drift, and maintaining model alignment, necessitating dedicated foundation model operations infrastructure [11, 14].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e101a"/>
          <w:sz w:val="26"/>
          <w:szCs w:val="26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240" w:line="240" w:lineRule="auto"/>
        <w:jc w:val="both"/>
        <w:rPr>
          <w:rFonts w:ascii="Avenir" w:cs="Avenir" w:eastAsia="Avenir" w:hAnsi="Avenir"/>
          <w:color w:val="0e101a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>Industrial foundation models shift factory operations from static, task-specific automations to a continuously learning intelligence layer, with a powerful base model and various fine-tuned, distilled versions running directly on production lines [11, 12, 80]. This architecture enables accuracy within latency and compute constraints while adapting to changing production conditions in real time [78, 79]. Even conservative adoption compounds over time, with fewer breakdowns, leaner designs, and more energy-efficient production systems [78, 79]. However, running a factory on this architecture requires continuous drift detection and model alignment, making dedicated AI operations infrastructure not optional but inevitable [11, 12, 14].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Moritz Hawener" w:id="0" w:date="2026-03-30T10:48:56Z"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Notes @lara.schupp@cdtm.com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Imo this trend is nearly perfect and good to go to Layout.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Sources are high quality, currently checking them.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Plagiarsim, No grammatical errors, rules also fulfilled.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TODO: Add Abbreviations</w:t>
      </w:r>
    </w:p>
  </w:comment>
  <w:comment w:author="Ali Karakullukcu" w:id="1" w:date="2026-03-30T12:23:05Z"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Sources are correct I checked as well. They used DOI's too well done!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