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after="200"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2">
      <w:pPr>
        <w:pStyle w:val="Heading1"/>
        <w:pBdr>
          <w:top w:color="000000" w:space="0" w:sz="0" w:val="none"/>
          <w:left w:color="000000" w:space="0" w:sz="0" w:val="none"/>
          <w:bottom w:color="000000" w:space="0" w:sz="0" w:val="none"/>
          <w:right w:color="000000" w:space="0" w:sz="0" w:val="none"/>
          <w:between w:color="000000" w:space="0" w:sz="0" w:val="none"/>
        </w:pBdr>
        <w:spacing w:after="200" w:before="0" w:line="240" w:lineRule="auto"/>
        <w:jc w:val="both"/>
        <w:rPr>
          <w:rFonts w:ascii="Avenir" w:cs="Avenir" w:eastAsia="Avenir" w:hAnsi="Avenir"/>
          <w:b w:val="1"/>
          <w:bCs w:val="1"/>
          <w:color w:val="5b9bd5"/>
          <w:sz w:val="24"/>
          <w:szCs w:val="24"/>
        </w:rPr>
      </w:pPr>
      <w:bookmarkStart w:colFirst="0" w:colLast="0" w:name="_pfxtqo66ilrz" w:id="0"/>
      <w:bookmarkEnd w:id="0"/>
      <w:r w:rsidDel="00000000" w:rsidR="00000000" w:rsidRPr="00000000">
        <w:rPr>
          <w:rFonts w:ascii="Avenir" w:cs="Avenir" w:eastAsia="Avenir" w:hAnsi="Avenir"/>
          <w:b w:val="1"/>
          <w:bCs w:val="1"/>
          <w:color w:val="5b9bd5"/>
          <w:sz w:val="24"/>
          <w:szCs w:val="24"/>
          <w:rtl w:val="0"/>
        </w:rPr>
        <w:t xml:space="preserve">Introduction</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Industrial Artificial Intelligence (AI) has moved beyond isolated point solutions, where individual algorithms handled single tasks such as defect detection or demand forecasting in disconnected deployments [1, 2]. It is becoming the operating logic of a new production paradigm where factories sense, reason, and adapt in real time [3]. The second- and third-order consequences of today's technological building blocks will compound over the next decades, creating new categories of competitive advantage where effects reinforce each other and binding constraints where critical challenges remain unsolved.</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First-order effects are already visible. Edge processors move inference closer to the shop floor, reducing response time and enabling near-real-time local decisions that cloud-only architectures may struggle to support consistently [4]. Predictive maintenance replaces fixed schedules with data-driven foresight, improving downtime forecasting accuracy by up to 85%, reducing unplanned machine downtime by up to 50%, and extending machine life by 20% to 40% [5, 6]. </w:t>
      </w:r>
      <w:r w:rsidDel="00000000" w:rsidR="00000000" w:rsidRPr="00000000">
        <w:rPr>
          <w:rFonts w:ascii="Avenir" w:cs="Avenir" w:eastAsia="Avenir" w:hAnsi="Avenir"/>
          <w:color w:val="3c3f42"/>
          <w:sz w:val="15"/>
          <w:szCs w:val="15"/>
          <w:rtl w:val="0"/>
        </w:rPr>
        <w:t>Semantic data layers are starting to bridge the protocol fragmentation that has kept operational technology (OT) isolated from the information technology (IT) systems where AI runs. Here, legacy assets without modern connectivity remain the dominant integration barrier in manufacturing environments</w:t>
      </w:r>
      <w:r w:rsidDel="00000000" w:rsidR="00000000" w:rsidRPr="00000000">
        <w:rPr>
          <w:rFonts w:ascii="Avenir" w:cs="Avenir" w:eastAsia="Avenir" w:hAnsi="Avenir"/>
          <w:color w:val="3c3f42"/>
          <w:sz w:val="15"/>
          <w:szCs w:val="15"/>
          <w:rtl w:val="0"/>
        </w:rPr>
        <w:t xml:space="preserve"> [7, 8]. Physical AI is extending robotic capabilities beyond tightly scripted assembly settings into more adaptive, real-world, and high-mix/.</w:t>
      </w:r>
      <w:r w:rsidDel="00000000" w:rsidR="00000000" w:rsidRPr="00000000">
        <w:rPr>
          <w:rFonts w:ascii="Avenir" w:cs="Avenir" w:eastAsia="Avenir" w:hAnsi="Avenir"/>
          <w:color w:val="3c3f42"/>
          <w:sz w:val="15"/>
          <w:szCs w:val="15"/>
          <w:rtl w:val="0"/>
        </w:rPr>
        <w:t xml:space="preserve">low-volume</w:t>
      </w:r>
      <w:r w:rsidDel="00000000" w:rsidR="00000000" w:rsidRPr="00000000">
        <w:rPr>
          <w:rFonts w:ascii="Avenir" w:cs="Avenir" w:eastAsia="Avenir" w:hAnsi="Avenir"/>
          <w:color w:val="3c3f42"/>
          <w:sz w:val="15"/>
          <w:szCs w:val="15"/>
          <w:rtl w:val="0"/>
        </w:rPr>
        <w:t xml:space="preserve"> (HMLV)  industrial environments such as aerospace [9, 10].. Industrial foundation models offer broad cross-task adaptability, but deployment in tightly controlled industrial settings poses challenges related to generalization, trustworthiness, interpretability, and continual learning [11, 12].</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deeper story is what happens when these capabilities compound. When edge inference meets semantically harmonized data, it creates the precondition for closed-loop autonomy, where production lines self-regulate without human arbitration [4, 7]. When predictive maintenance matures through prescriptive into autonomous intervention, downtime stops being an event to recover from and becomes a residual that the system continuously minimizes [13]. When Physical AI makes HMLV work economically automatable, the logic of mass production migrates into domains that have resisted systematization for decades, from aerospace to construction and medical devices [9, 10].</w:t>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same interconnectedness that enables these compounding gains, however, simultaneously widens the attack surface and raises the governance stakes, making data integrity, cybersecurity, and regulatory alignment structural prerequisites rather than secondary considerations. </w:t>
      </w:r>
      <w:r w:rsidDel="00000000" w:rsidR="00000000" w:rsidRPr="00000000">
        <w:rPr>
          <w:rFonts w:ascii="Avenir" w:cs="Avenir" w:eastAsia="Avenir" w:hAnsi="Avenir"/>
          <w:color w:val="3c3f42"/>
          <w:sz w:val="15"/>
          <w:szCs w:val="15"/>
          <w:rtl w:val="0"/>
        </w:rPr>
        <w:t xml:space="preserve">Industry 6.0 envisions cross-company AI ecosystems, federated learning across supply chains, and sustainability-driven manufacturing as converging outcomes of advanced connectivity and interoperability architectures [7]</w:t>
      </w:r>
      <w:r w:rsidDel="00000000" w:rsidR="00000000" w:rsidRPr="00000000">
        <w:rPr>
          <w:rFonts w:ascii="Avenir" w:cs="Avenir" w:eastAsia="Avenir" w:hAnsi="Avenir"/>
          <w:color w:val="3c3f42"/>
          <w:sz w:val="15"/>
          <w:szCs w:val="15"/>
          <w:rtl w:val="0"/>
        </w:rPr>
        <w:t xml:space="preserve">. Industrial foundation models demand an entirely new operational discipline, Foundation Model Operations (</w:t>
      </w:r>
      <w:r w:rsidDel="00000000" w:rsidR="00000000" w:rsidRPr="00000000">
        <w:rPr>
          <w:rFonts w:ascii="Avenir" w:cs="Avenir" w:eastAsia="Avenir" w:hAnsi="Avenir"/>
          <w:color w:val="3c3f42"/>
          <w:sz w:val="15"/>
          <w:szCs w:val="15"/>
          <w:rtl w:val="0"/>
        </w:rPr>
        <w:t xml:space="preserve">FMOp)</w:t>
      </w:r>
      <w:r w:rsidDel="00000000" w:rsidR="00000000" w:rsidRPr="00000000">
        <w:rPr>
          <w:rFonts w:ascii="Avenir" w:cs="Avenir" w:eastAsia="Avenir" w:hAnsi="Avenir"/>
          <w:color w:val="3c3f42"/>
          <w:sz w:val="15"/>
          <w:szCs w:val="15"/>
          <w:rtl w:val="0"/>
        </w:rPr>
        <w:t xml:space="preserve">, to manage data quality, detect drift, and maintain alignment across hundreds of specialist models running simultaneously [11, 14].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doi.org/10.1109/ACCESS.2025.3589777" TargetMode="External"/><Relationship Id="rId9" Type="http://schemas.openxmlformats.org/officeDocument/2006/relationships/hyperlink" Target="https://www.mckinsey.com/industries/aerospace-and-defense/our-insights/improving-productivity-in-low-volume-high-complexity-manufacturing" TargetMode="External"/><Relationship Id="rId5" Type="http://schemas.openxmlformats.org/officeDocument/2006/relationships/styles" Target="styles.xml"/><Relationship Id="rId6" Type="http://schemas.openxmlformats.org/officeDocument/2006/relationships/hyperlink" Target="https://www.mckinsey.com/capabilities/operations/our-insights/manufacturing-analytics-unleashes-productivity-and-profitability" TargetMode="External"/><Relationship Id="rId7" Type="http://schemas.openxmlformats.org/officeDocument/2006/relationships/hyperlink" Target="https://doi.org/10.1016/j.aej.2025.08.040" TargetMode="External"/><Relationship Id="rId8" Type="http://schemas.openxmlformats.org/officeDocument/2006/relationships/hyperlink" Target="https://doi.org/10.3233/ATDE2205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